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7088"/>
          <w:tab w:val="right" w:pos="9781"/>
          <w:tab w:val="clear" w:pos="8306"/>
        </w:tabs>
        <w:spacing w:after="0"/>
        <w:rPr>
          <w:rFonts w:hint="default"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#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 xml:space="preserve">123                                                 </w:t>
      </w:r>
      <w:r>
        <w:rPr>
          <w:rFonts w:ascii="Arial" w:hAnsi="Arial" w:cs="Arial"/>
          <w:b/>
          <w:bCs/>
          <w:sz w:val="22"/>
          <w:lang w:val="en-US" w:eastAsia="zh-CN"/>
        </w:rPr>
        <w:t xml:space="preserve">                                     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 xml:space="preserve">    </w:t>
      </w:r>
      <w:r>
        <w:rPr>
          <w:rFonts w:ascii="Arial" w:hAnsi="Arial" w:cs="Arial"/>
          <w:b/>
          <w:bCs/>
          <w:sz w:val="22"/>
          <w:lang w:val="en-US" w:eastAsia="zh-CN"/>
        </w:rPr>
        <w:t xml:space="preserve"> R1-25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09248</w:t>
      </w:r>
    </w:p>
    <w:p>
      <w:pPr>
        <w:rPr>
          <w:rFonts w:hint="default" w:ascii="Arial" w:hAnsi="Arial" w:cs="Arial"/>
          <w:b/>
          <w:bCs/>
          <w:sz w:val="22"/>
          <w:szCs w:val="22"/>
        </w:rPr>
      </w:pPr>
      <w:r>
        <w:rPr>
          <w:rFonts w:hint="default" w:ascii="Arial" w:hAnsi="Arial" w:eastAsia="宋体" w:cs="Arial"/>
          <w:b/>
          <w:bCs/>
          <w:sz w:val="22"/>
          <w:lang w:val="en-US"/>
        </w:rPr>
        <w:t>Dallas, USA, Nov 17</w:t>
      </w:r>
      <w:r>
        <w:rPr>
          <w:rFonts w:hint="default" w:ascii="Arial" w:hAnsi="Arial" w:eastAsia="宋体" w:cs="Arial"/>
          <w:b/>
          <w:bCs/>
          <w:sz w:val="22"/>
          <w:vertAlign w:val="superscript"/>
          <w:lang w:val="en-US"/>
        </w:rPr>
        <w:t>th</w:t>
      </w:r>
      <w:r>
        <w:rPr>
          <w:rFonts w:hint="default" w:ascii="Arial" w:hAnsi="Arial" w:eastAsia="宋体" w:cs="Arial"/>
          <w:b/>
          <w:bCs/>
          <w:sz w:val="22"/>
          <w:lang w:val="en-US"/>
        </w:rPr>
        <w:t xml:space="preserve"> – 21</w:t>
      </w:r>
      <w:r>
        <w:rPr>
          <w:rFonts w:hint="default" w:ascii="Arial" w:hAnsi="Arial" w:eastAsia="宋体" w:cs="Arial"/>
          <w:b/>
          <w:bCs/>
          <w:sz w:val="22"/>
          <w:vertAlign w:val="superscript"/>
          <w:lang w:val="en-US"/>
        </w:rPr>
        <w:t>st</w:t>
      </w:r>
      <w:r>
        <w:rPr>
          <w:rFonts w:hint="default" w:ascii="Arial" w:hAnsi="Arial" w:eastAsia="宋体" w:cs="Arial"/>
          <w:b/>
          <w:bCs/>
          <w:sz w:val="22"/>
          <w:lang w:val="en-US"/>
        </w:rPr>
        <w:t>, 2025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ZTE Corporation, Sanechips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ko-KR"/>
        </w:rPr>
        <w:t>Maintenance on Multi-carrier enhancements for NR phase 3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8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>
      <w:pPr>
        <w:pStyle w:val="4"/>
        <w:pBdr>
          <w:top w:val="single" w:color="auto" w:sz="12" w:space="0"/>
        </w:pBdr>
      </w:pPr>
      <w:r>
        <w:t>Introduction</w:t>
      </w:r>
    </w:p>
    <w:p>
      <w:r>
        <w:t>After RAN1#1</w:t>
      </w:r>
      <w:r>
        <w:rPr>
          <w:rFonts w:hint="eastAsia"/>
          <w:lang w:val="en-US" w:eastAsia="zh-CN"/>
        </w:rPr>
        <w:t>21</w:t>
      </w:r>
      <w:r>
        <w:t xml:space="preserve"> meeting, the WI “</w:t>
      </w:r>
      <w:r>
        <w:rPr>
          <w:rFonts w:hint="eastAsia"/>
        </w:rPr>
        <w:t>Multi-carrier enhancements for NR phase 3</w:t>
      </w:r>
      <w:r>
        <w:t xml:space="preserve">” has been completed from RAN1 perspective. </w:t>
      </w:r>
    </w:p>
    <w:p>
      <w:pPr>
        <w:rPr>
          <w:lang w:val="en-US" w:eastAsia="zh-CN"/>
        </w:rPr>
      </w:pPr>
      <w:r>
        <w:t>In this contribution, we provide our analysis and potential TP on the remaining issues on Multi-</w:t>
      </w:r>
      <w:r>
        <w:rPr>
          <w:rFonts w:hint="eastAsia"/>
          <w:lang w:val="en-US" w:eastAsia="zh-CN"/>
        </w:rPr>
        <w:t>carrier</w:t>
      </w:r>
      <w:r>
        <w:t xml:space="preserve"> </w:t>
      </w:r>
      <w:r>
        <w:rPr>
          <w:rFonts w:hint="eastAsia"/>
          <w:lang w:val="en-US" w:eastAsia="zh-CN"/>
        </w:rPr>
        <w:t>enhancement</w:t>
      </w:r>
      <w:r>
        <w:t xml:space="preserve"> based on the latest </w:t>
      </w:r>
      <w:r>
        <w:rPr>
          <w:rFonts w:hint="eastAsia"/>
          <w:lang w:val="en-US" w:eastAsia="zh-CN"/>
        </w:rPr>
        <w:t>RAN1 spec [1]</w:t>
      </w:r>
      <w:r>
        <w:t>.</w:t>
      </w:r>
    </w:p>
    <w:p>
      <w:pPr>
        <w:pStyle w:val="4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Correction on the first </w:t>
      </w:r>
      <w:r>
        <w:t>HARQ-ACK sub-codebook</w:t>
      </w:r>
    </w:p>
    <w:p>
      <w:pPr>
        <w:spacing w:before="120" w:beforeLines="50"/>
        <w:rPr>
          <w:rFonts w:hint="default"/>
          <w:lang w:val="en-US" w:eastAsia="zh-CN"/>
        </w:rPr>
      </w:pPr>
      <w:r>
        <w:rPr>
          <w:rFonts w:hint="eastAsia"/>
          <w:color w:val="auto"/>
          <w:lang w:val="en-US" w:eastAsia="zh-CN"/>
        </w:rPr>
        <w:t>In Type-2 HARQ-ACK codebook for Rel-19 MCE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, </w:t>
      </w:r>
      <w:r>
        <w:rPr>
          <w:rFonts w:hint="eastAsia" w:cs="Times New Roman"/>
          <w:lang w:val="en-US" w:eastAsia="zh-CN"/>
        </w:rPr>
        <w:t>the modifications on the first HARQ-ACK sub-codebook are copied below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 xml:space="preserve">.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bookmarkStart w:id="0" w:name="_Ref500250940"/>
            <w:bookmarkStart w:id="1" w:name="_Toc29899560"/>
            <w:bookmarkStart w:id="2" w:name="_Toc29899142"/>
            <w:bookmarkStart w:id="3" w:name="_Toc29894843"/>
            <w:bookmarkStart w:id="4" w:name="_Toc45699197"/>
            <w:bookmarkStart w:id="5" w:name="_Toc26719410"/>
            <w:bookmarkStart w:id="6" w:name="_Toc12021473"/>
            <w:bookmarkStart w:id="7" w:name="_Toc20311585"/>
            <w:bookmarkStart w:id="8" w:name="_Toc201953698"/>
            <w:bookmarkStart w:id="9" w:name="_Toc36498171"/>
            <w:bookmarkStart w:id="10" w:name="_Toc29917297"/>
            <w:r>
              <w:t>9</w:t>
            </w:r>
            <w:r>
              <w:rPr>
                <w:rFonts w:hint="eastAsia"/>
              </w:rPr>
              <w:t>.</w:t>
            </w:r>
            <w:r>
              <w:t>1.3.1</w:t>
            </w:r>
            <w:r>
              <w:rPr>
                <w:rFonts w:hint="eastAsia"/>
              </w:rPr>
              <w:tab/>
            </w:r>
            <w:r>
              <w:t xml:space="preserve">Type-2 HARQ-ACK codebook in </w:t>
            </w:r>
            <w:bookmarkEnd w:id="0"/>
            <w:r>
              <w:t>physical uplink control channel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>
            <w:pPr>
              <w:pStyle w:val="2"/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lang w:val="en-US" w:eastAsia="en-US" w:bidi="ar-SA"/>
              </w:rPr>
              <w:t>&lt;Unchanged parts are omitted&gt;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If a UE </w:t>
            </w:r>
            <w:r>
              <w:rPr>
                <w:lang w:val="en-US" w:eastAsia="zh-CN"/>
              </w:rPr>
              <w:t xml:space="preserve">is provided </w:t>
            </w:r>
            <w:r>
              <w:rPr>
                <w:i/>
                <w:iCs/>
                <w:lang w:val="en-US" w:eastAsia="zh-CN"/>
              </w:rPr>
              <w:t>pdsch-TimeDomainAllocationListForMultiPDSCH-DCI-1-3</w:t>
            </w:r>
            <w:r>
              <w:rPr>
                <w:lang w:val="en-US"/>
              </w:rPr>
              <w:t xml:space="preserve"> for a serving cell in a </w:t>
            </w:r>
            <w:r>
              <w:rPr>
                <w:lang w:eastAsia="zh-CN"/>
              </w:rPr>
              <w:t>set of serving cells provided by</w:t>
            </w:r>
            <w:r>
              <w:rPr>
                <w:i/>
              </w:rPr>
              <w:t xml:space="preserve"> MC-DCI-SetofCells</w:t>
            </w:r>
            <w:r>
              <w:rPr>
                <w:iCs/>
              </w:rPr>
              <w:t xml:space="preserve"> in </w:t>
            </w:r>
            <w:r>
              <w:rPr>
                <w:iCs/>
                <w:lang w:val="en-US"/>
              </w:rPr>
              <w:t>a</w:t>
            </w:r>
            <w:r>
              <w:rPr>
                <w:iCs/>
              </w:rPr>
              <w:t xml:space="preserve"> PUCCH group,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hint="eastAsia" w:cs="Arial"/>
                <w:lang w:eastAsia="zh-CN"/>
              </w:rPr>
              <w:t>he UE determine</w:t>
            </w:r>
            <w:r>
              <w:rPr>
                <w:rFonts w:cs="Arial"/>
                <w:lang w:eastAsia="zh-CN"/>
              </w:rPr>
              <w:t>s</w:t>
            </w:r>
            <w:r>
              <w:rPr>
                <w:rFonts w:hint="eastAsia" w:cs="Arial"/>
                <w:lang w:eastAsia="zh-CN"/>
              </w:rPr>
              <w:t xml:space="preserve">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,⋯,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ACK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−1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according</w:t>
            </w:r>
            <w:r>
              <w:rPr>
                <w:rFonts w:hint="eastAsia"/>
                <w:lang w:eastAsia="zh-CN"/>
              </w:rPr>
              <w:t xml:space="preserve"> to the previous pseudo-code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with the following modifications</w:t>
            </w:r>
          </w:p>
          <w:p>
            <w:pPr>
              <w:pStyle w:val="4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the </w:t>
            </w:r>
            <w:r>
              <w:t xml:space="preserve">first HARQ-ACK sub-codebook </w:t>
            </w:r>
            <w:r>
              <w:rPr>
                <w:lang w:val="en-US"/>
              </w:rPr>
              <w:t xml:space="preserve">is associated with 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 xml:space="preserve">unicast SPS PDSCH receptions 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 xml:space="preserve">any unicast DCI format scheduling a single PDSCH reception on a serving cell 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any unicast DCI format having associated HARQ-ACK information without scheduling a PDSCH reception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highlight w:val="yellow"/>
                <w:lang w:eastAsia="zh-CN"/>
              </w:rPr>
              <w:t xml:space="preserve">any DCI format 1_3 scheduling more than one PDSCH receptions on a serving </w:t>
            </w:r>
            <w:r>
              <w:rPr>
                <w:bCs/>
                <w:highlight w:val="yellow"/>
              </w:rPr>
              <w:t xml:space="preserve">cell </w:t>
            </w:r>
            <m:oMath>
              <m:r>
                <m:rPr/>
                <w:rPr>
                  <w:rFonts w:ascii="Cambria Math" w:hAnsi="Cambria Math"/>
                  <w:highlight w:val="yellow"/>
                </w:rPr>
                <m:t>c</m:t>
              </m:r>
            </m:oMath>
            <w:r>
              <w:rPr>
                <w:bCs/>
                <w:highlight w:val="yellow"/>
              </w:rPr>
              <w:t xml:space="preserve"> </w:t>
            </w:r>
            <w:r>
              <w:rPr>
                <w:highlight w:val="yellow"/>
                <w:lang w:val="en-US" w:eastAsia="zh-CN"/>
              </w:rPr>
              <w:t xml:space="preserve">for which the UE is provided </w:t>
            </w:r>
            <w:r>
              <w:rPr>
                <w:i/>
                <w:iCs/>
                <w:highlight w:val="yellow"/>
              </w:rPr>
              <w:t>nrofHARQ-BundlingGroups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</w:rPr>
                    <m:t>HARQ−ACK,</m:t>
                  </m:r>
                  <m:r>
                    <m:rPr/>
                    <w:rPr>
                      <w:rFonts w:ascii="Cambria Math" w:hAnsi="Cambria Math"/>
                      <w:highlight w:val="yellow"/>
                    </w:rPr>
                    <m:t>c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  <w:lang w:val="en-US"/>
                    </w:rPr>
                    <m:t>TBG,max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highlight w:val="yellow"/>
                </w:rPr>
                <m:t>=1</m:t>
              </m:r>
            </m:oMath>
          </w:p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lang w:val="en-US" w:eastAsia="en-US" w:bidi="ar-SA"/>
              </w:rPr>
              <w:t>&lt;Unchanged parts are omitted&gt;</w:t>
            </w:r>
          </w:p>
        </w:tc>
      </w:tr>
    </w:tbl>
    <w:p>
      <w:pPr>
        <w:spacing w:before="120" w:beforeLines="50"/>
        <w:rPr>
          <w:rFonts w:hint="eastAsia" w:cs="Times New Roman"/>
          <w:color w:val="auto"/>
          <w:lang w:val="en-US" w:eastAsia="zh-CN"/>
        </w:rPr>
      </w:pPr>
      <w:r>
        <w:rPr>
          <w:rFonts w:hint="eastAsia" w:cs="Times New Roman"/>
          <w:color w:val="auto"/>
          <w:lang w:val="en-US" w:eastAsia="zh-CN"/>
        </w:rPr>
        <w:t xml:space="preserve">While, the last bullet could comprise the case of </w:t>
      </w:r>
      <w:r>
        <w:rPr>
          <w:highlight w:val="none"/>
          <w:lang w:eastAsia="zh-CN"/>
        </w:rPr>
        <w:t xml:space="preserve">more than one PDSCH receptions on a serving </w:t>
      </w:r>
      <w:r>
        <w:rPr>
          <w:bCs/>
          <w:highlight w:val="none"/>
        </w:rPr>
        <w:t>cell</w:t>
      </w:r>
      <w:r>
        <w:rPr>
          <w:rFonts w:hint="eastAsia"/>
          <w:bCs/>
          <w:highlight w:val="none"/>
          <w:lang w:val="en-US" w:eastAsia="zh-CN"/>
        </w:rPr>
        <w:t>#1</w:t>
      </w:r>
      <w:r>
        <w:rPr>
          <w:rFonts w:hint="eastAsia" w:hAnsi="Cambria Math"/>
          <w:i w:val="0"/>
          <w:highlight w:val="none"/>
          <w:lang w:val="en-US" w:eastAsia="zh-CN"/>
        </w:rPr>
        <w:t xml:space="preserve"> and </w:t>
      </w:r>
      <w:r>
        <w:rPr>
          <w:highlight w:val="none"/>
          <w:lang w:eastAsia="zh-CN"/>
        </w:rPr>
        <w:t xml:space="preserve">more than one PDSCH receptions on a serving </w:t>
      </w:r>
      <w:r>
        <w:rPr>
          <w:bCs/>
          <w:highlight w:val="none"/>
        </w:rPr>
        <w:t>cell</w:t>
      </w:r>
      <w:r>
        <w:rPr>
          <w:rFonts w:hint="eastAsia"/>
          <w:bCs/>
          <w:highlight w:val="none"/>
          <w:lang w:val="en-US" w:eastAsia="zh-CN"/>
        </w:rPr>
        <w:t xml:space="preserve">#2 </w:t>
      </w:r>
      <w:r>
        <w:rPr>
          <w:rFonts w:hint="eastAsia" w:cs="Times New Roman"/>
          <w:color w:val="auto"/>
          <w:highlight w:val="none"/>
          <w:lang w:val="en-US" w:eastAsia="zh-CN"/>
        </w:rPr>
        <w:t xml:space="preserve">scheduled by the same DCI format 1_3 with each cell configured with one TBG bundling group. </w:t>
      </w:r>
      <w:r>
        <w:rPr>
          <w:rFonts w:hint="eastAsia" w:cs="Times New Roman"/>
          <w:color w:val="auto"/>
          <w:lang w:val="en-US" w:eastAsia="zh-CN"/>
        </w:rPr>
        <w:t xml:space="preserve">The HARQ-ACK information bits for this case shall be included in the second HARQ-ACK sub-codebook, not the first HARQ-ACK sub-codebook. </w:t>
      </w:r>
    </w:p>
    <w:p>
      <w:pPr>
        <w:spacing w:before="120" w:beforeLines="50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eastAsia" w:cs="Times New Roman"/>
          <w:color w:val="auto"/>
          <w:lang w:val="en-US" w:eastAsia="zh-CN"/>
        </w:rPr>
        <w:t xml:space="preserve">Therefore,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“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a serving cell</w:t>
      </w:r>
      <w:r>
        <w:rPr>
          <w:rFonts w:hint="default" w:ascii="Times New Roman" w:hAnsi="Times New Roman" w:cs="Times New Roman"/>
          <w:color w:val="auto"/>
          <w:lang w:val="en-US" w:eastAsia="zh-CN"/>
        </w:rPr>
        <w:t>”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should be changed to </w:t>
      </w:r>
      <w:r>
        <w:rPr>
          <w:rFonts w:hint="default" w:ascii="Times New Roman" w:hAnsi="Times New Roman" w:cs="Times New Roman"/>
          <w:color w:val="auto"/>
          <w:lang w:val="en-US" w:eastAsia="zh-CN"/>
        </w:rPr>
        <w:t>“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a single serving cell</w:t>
      </w:r>
      <w:r>
        <w:rPr>
          <w:rFonts w:hint="default" w:ascii="Times New Roman" w:hAnsi="Times New Roman" w:cs="Times New Roman"/>
          <w:color w:val="auto"/>
          <w:lang w:val="en-US" w:eastAsia="zh-CN"/>
        </w:rPr>
        <w:t>”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. </w:t>
      </w:r>
      <w:r>
        <w:rPr>
          <w:rFonts w:hint="eastAsia" w:cs="Times New Roman"/>
          <w:color w:val="auto"/>
          <w:lang w:val="en-US" w:eastAsia="zh-CN"/>
        </w:rPr>
        <w:t xml:space="preserve">The change can make the last bullet clear that </w:t>
      </w:r>
      <w:r>
        <w:rPr>
          <w:rFonts w:hint="eastAsia" w:eastAsia="等线"/>
          <w:kern w:val="2"/>
          <w:sz w:val="20"/>
          <w:szCs w:val="20"/>
          <w:lang w:eastAsia="zh-CN"/>
        </w:rPr>
        <w:t>the DCI only schedule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s one cell. The corresponding agreement is also copied below.  </w:t>
      </w:r>
    </w:p>
    <w:tbl>
      <w:tblPr>
        <w:tblStyle w:val="2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hint="default" w:ascii="Times" w:hAnsi="Times" w:eastAsia="等线"/>
                <w:sz w:val="20"/>
                <w:highlight w:val="green"/>
                <w:lang w:val="en-US" w:eastAsia="zh-CN"/>
              </w:rPr>
            </w:pPr>
            <w:r>
              <w:rPr>
                <w:rFonts w:hint="eastAsia" w:ascii="Times" w:hAnsi="Times" w:eastAsia="等线"/>
                <w:sz w:val="20"/>
                <w:highlight w:val="green"/>
                <w:lang w:val="en-GB"/>
              </w:rPr>
              <w:t>Agreement</w:t>
            </w:r>
            <w:r>
              <w:rPr>
                <w:rFonts w:hint="eastAsia" w:ascii="Times" w:hAnsi="Times" w:eastAsia="等线"/>
                <w:sz w:val="20"/>
                <w:highlight w:val="green"/>
                <w:lang w:val="en-US" w:eastAsia="zh-CN"/>
              </w:rPr>
              <w:t>(RAN1#119)</w:t>
            </w:r>
          </w:p>
          <w:p>
            <w:pPr>
              <w:numPr>
                <w:ilvl w:val="0"/>
                <w:numId w:val="13"/>
              </w:numPr>
              <w:snapToGrid w:val="0"/>
              <w:rPr>
                <w:rFonts w:ascii="Times" w:hAnsi="Times" w:eastAsia="Batang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/>
                <w:sz w:val="20"/>
                <w:szCs w:val="20"/>
                <w:lang w:val="en-GB" w:eastAsia="en-US"/>
              </w:rPr>
              <w:t xml:space="preserve">Type-2 HARQ-ACK codebook is </w:t>
            </w:r>
            <w:r>
              <w:rPr>
                <w:rFonts w:ascii="Times" w:hAnsi="Times" w:eastAsia="ＭＳ 明朝"/>
                <w:bCs/>
                <w:sz w:val="20"/>
                <w:szCs w:val="20"/>
                <w:lang w:val="en-GB" w:eastAsia="ja-JP"/>
              </w:rPr>
              <w:t>generated by concatenating a first sub-codebook and a second sub-codebook.</w:t>
            </w:r>
            <w:r>
              <w:rPr>
                <w:rFonts w:ascii="Times" w:hAnsi="Times" w:eastAsia="Batang"/>
                <w:sz w:val="20"/>
                <w:szCs w:val="20"/>
                <w:lang w:val="en-GB" w:eastAsia="en-US"/>
              </w:rPr>
              <w:t xml:space="preserve"> </w:t>
            </w:r>
          </w:p>
          <w:p>
            <w:pPr>
              <w:numPr>
                <w:ilvl w:val="0"/>
                <w:numId w:val="14"/>
              </w:numPr>
              <w:contextualSpacing/>
              <w:rPr>
                <w:rFonts w:eastAsia="等线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" w:hAnsi="Times" w:eastAsia="ＭＳ 明朝"/>
                <w:bCs/>
                <w:sz w:val="20"/>
                <w:szCs w:val="20"/>
                <w:lang w:val="en-GB" w:eastAsia="ja-JP"/>
              </w:rPr>
              <w:t>The first sub-codebook comprises HARQ-ACK information bits for PDSCH(s) scheduled by DCI(s) with each scheduling a single PDSCH,</w:t>
            </w:r>
            <w:r>
              <w:rPr>
                <w:rFonts w:ascii="Times" w:hAnsi="Times" w:eastAsia="Batang"/>
                <w:sz w:val="20"/>
                <w:lang w:val="en-GB"/>
              </w:rPr>
              <w:t xml:space="preserve"> </w:t>
            </w:r>
            <w:r>
              <w:rPr>
                <w:rFonts w:ascii="Times" w:hAnsi="Times" w:eastAsia="ＭＳ 明朝"/>
                <w:bCs/>
                <w:sz w:val="20"/>
                <w:szCs w:val="20"/>
                <w:lang w:val="en-GB" w:eastAsia="ja-JP"/>
              </w:rPr>
              <w:t xml:space="preserve">or </w:t>
            </w:r>
            <w:r>
              <w:rPr>
                <w:rFonts w:ascii="Times" w:hAnsi="Times" w:eastAsia="ＭＳ 明朝"/>
                <w:bCs/>
                <w:sz w:val="20"/>
                <w:szCs w:val="20"/>
                <w:highlight w:val="yellow"/>
                <w:lang w:val="en-GB" w:eastAsia="ja-JP"/>
              </w:rPr>
              <w:t xml:space="preserve">each scheduling a single cell with multiple PDSCHs on it and </w:t>
            </w:r>
            <w:r>
              <w:rPr>
                <w:rFonts w:ascii="Times" w:hAnsi="Times" w:eastAsia="ＭＳ 明朝"/>
                <w:bCs/>
                <w:i/>
                <w:iCs/>
                <w:sz w:val="20"/>
                <w:szCs w:val="20"/>
                <w:highlight w:val="yellow"/>
                <w:lang w:val="en-GB" w:eastAsia="ja-JP"/>
              </w:rPr>
              <w:t>nrofHARQ-BundlingGroups</w:t>
            </w:r>
            <w:r>
              <w:rPr>
                <w:rFonts w:ascii="Times" w:hAnsi="Times" w:eastAsia="ＭＳ 明朝"/>
                <w:bCs/>
                <w:sz w:val="20"/>
                <w:szCs w:val="20"/>
                <w:highlight w:val="yellow"/>
                <w:lang w:val="en-GB" w:eastAsia="ja-JP"/>
              </w:rPr>
              <w:t xml:space="preserve"> configured as 1</w:t>
            </w:r>
            <w:r>
              <w:rPr>
                <w:rFonts w:ascii="Times" w:hAnsi="Times" w:eastAsia="ＭＳ 明朝"/>
                <w:bCs/>
                <w:sz w:val="20"/>
                <w:szCs w:val="20"/>
                <w:lang w:val="en-GB" w:eastAsia="ja-JP"/>
              </w:rPr>
              <w:t xml:space="preserve">, and HARQ-ACK information bit(s) for DCI(s) having associated HARQ-ACK information without scheduling PDSCH reception. </w:t>
            </w:r>
          </w:p>
        </w:tc>
      </w:tr>
    </w:tbl>
    <w:p>
      <w:pPr>
        <w:spacing w:before="120" w:beforeLines="50"/>
        <w:rPr>
          <w:i/>
        </w:rPr>
      </w:pPr>
      <w:r>
        <w:rPr>
          <w:rFonts w:hint="eastAsia"/>
          <w:b/>
          <w:bCs/>
          <w:i/>
          <w:lang w:val="en-US" w:eastAsia="zh-CN"/>
        </w:rPr>
        <w:t>Proposal 1: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Adopt the following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TP for clause 9.1.3.1 in TS38.213 to correct only a single cell scheduled by one DCI format 1_3 with more than one PDSCH receptions and one TBG bundling group configured for the cell can be associated with the first HARQ-ACK sub-codebook.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b/>
                <w:bCs/>
              </w:rPr>
              <w:t>Reason for change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For Rel-19MCE, </w:t>
            </w:r>
            <w:r>
              <w:rPr>
                <w:lang w:val="en-US"/>
              </w:rPr>
              <w:t xml:space="preserve">the </w:t>
            </w:r>
            <w:r>
              <w:t xml:space="preserve">first HARQ-ACK sub-codebook </w:t>
            </w:r>
            <w:r>
              <w:rPr>
                <w:lang w:val="en-US"/>
              </w:rPr>
              <w:t>is associated with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highlight w:val="yellow"/>
                <w:lang w:eastAsia="zh-CN"/>
              </w:rPr>
              <w:t xml:space="preserve">any DCI format 1_3 scheduling more than one PDSCH receptions on a serving </w:t>
            </w:r>
            <w:r>
              <w:rPr>
                <w:bCs/>
                <w:highlight w:val="yellow"/>
              </w:rPr>
              <w:t xml:space="preserve">cell </w:t>
            </w:r>
            <m:oMath>
              <m:r>
                <m:rPr/>
                <w:rPr>
                  <w:rFonts w:ascii="Cambria Math" w:hAnsi="Cambria Math"/>
                  <w:highlight w:val="yellow"/>
                </w:rPr>
                <m:t>c</m:t>
              </m:r>
            </m:oMath>
            <w:r>
              <w:rPr>
                <w:bCs/>
                <w:highlight w:val="yellow"/>
              </w:rPr>
              <w:t xml:space="preserve"> </w:t>
            </w:r>
            <w:r>
              <w:rPr>
                <w:highlight w:val="yellow"/>
                <w:lang w:val="en-US" w:eastAsia="zh-CN"/>
              </w:rPr>
              <w:t xml:space="preserve">for which the UE is provided </w:t>
            </w:r>
            <w:r>
              <w:rPr>
                <w:i/>
                <w:iCs/>
                <w:highlight w:val="yellow"/>
              </w:rPr>
              <w:t>nrofHARQ-BundlingGroups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</w:rPr>
                    <m:t>HARQ−ACK,</m:t>
                  </m:r>
                  <m:r>
                    <m:rPr/>
                    <w:rPr>
                      <w:rFonts w:ascii="Cambria Math" w:hAnsi="Cambria Math"/>
                      <w:highlight w:val="yellow"/>
                    </w:rPr>
                    <m:t>c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  <w:lang w:val="en-US"/>
                    </w:rPr>
                    <m:t>TBG,max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highlight w:val="yellow"/>
                </w:rPr>
                <m:t>=1</m:t>
              </m:r>
            </m:oMath>
            <w:r>
              <w:rPr>
                <w:rFonts w:hint="eastAsia" w:hAnsi="Cambria Math"/>
                <w:i w:val="0"/>
                <w:highlight w:val="yellow"/>
                <w:lang w:val="en-US" w:eastAsia="zh-CN"/>
              </w:rPr>
              <w:t xml:space="preserve">. </w:t>
            </w:r>
            <w:r>
              <w:rPr>
                <w:rFonts w:hint="eastAsia" w:cs="Times New Roman"/>
                <w:color w:val="auto"/>
                <w:lang w:val="en-US" w:eastAsia="zh-CN"/>
              </w:rPr>
              <w:t xml:space="preserve">While, this bullet could comprise the case of </w:t>
            </w:r>
            <w:r>
              <w:rPr>
                <w:highlight w:val="none"/>
                <w:lang w:eastAsia="zh-CN"/>
              </w:rPr>
              <w:t xml:space="preserve">more than one PDSCH receptions on a serving </w:t>
            </w:r>
            <w:r>
              <w:rPr>
                <w:bCs/>
                <w:highlight w:val="none"/>
              </w:rPr>
              <w:t>cell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>#1</w:t>
            </w:r>
            <w:r>
              <w:rPr>
                <w:rFonts w:hint="eastAsia" w:hAnsi="Cambria Math"/>
                <w:i w:val="0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eastAsia="zh-CN"/>
              </w:rPr>
              <w:t xml:space="preserve">more than one PDSCH receptions on a serving </w:t>
            </w:r>
            <w:r>
              <w:rPr>
                <w:bCs/>
                <w:highlight w:val="none"/>
              </w:rPr>
              <w:t>cell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#2 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 xml:space="preserve">scheduled by the same DCI format 1_3 with each cell configured with one TBG bundling group. </w:t>
            </w:r>
            <w:r>
              <w:rPr>
                <w:rFonts w:hint="eastAsia" w:cs="Times New Roman"/>
                <w:color w:val="auto"/>
                <w:lang w:val="en-US" w:eastAsia="zh-CN"/>
              </w:rPr>
              <w:t>The HARQ-ACK information bits for this case shall be included in the second HARQ-ACK sub-codebook, not the first HARQ-ACK sub-codebook.</w:t>
            </w:r>
          </w:p>
          <w:tbl>
            <w:tblPr>
              <w:tblStyle w:val="24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5000" w:type="pct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/>
                    <w:textAlignment w:val="auto"/>
                    <w:rPr>
                      <w:rFonts w:hint="default" w:ascii="Times" w:hAnsi="Times" w:eastAsia="等线"/>
                      <w:sz w:val="20"/>
                      <w:highlight w:val="green"/>
                      <w:lang w:val="en-US" w:eastAsia="zh-CN"/>
                    </w:rPr>
                  </w:pPr>
                  <w:r>
                    <w:rPr>
                      <w:rFonts w:hint="eastAsia" w:ascii="Times" w:hAnsi="Times" w:eastAsia="等线"/>
                      <w:sz w:val="20"/>
                      <w:highlight w:val="green"/>
                      <w:lang w:val="en-GB"/>
                    </w:rPr>
                    <w:t>Agreement</w:t>
                  </w:r>
                  <w:r>
                    <w:rPr>
                      <w:rFonts w:hint="eastAsia" w:ascii="Times" w:hAnsi="Times" w:eastAsia="等线"/>
                      <w:sz w:val="20"/>
                      <w:highlight w:val="green"/>
                      <w:lang w:val="en-US" w:eastAsia="zh-CN"/>
                    </w:rPr>
                    <w:t>(RAN1#119)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/>
                    <w:textAlignment w:val="auto"/>
                    <w:rPr>
                      <w:rFonts w:ascii="Times" w:hAnsi="Times" w:eastAsia="Batang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" w:hAnsi="Times" w:eastAsia="Batang"/>
                      <w:sz w:val="20"/>
                      <w:szCs w:val="20"/>
                      <w:lang w:val="en-GB" w:eastAsia="en-US"/>
                    </w:rPr>
                    <w:t xml:space="preserve">Type-2 HARQ-ACK codebook is </w:t>
                  </w: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lang w:val="en-GB" w:eastAsia="ja-JP"/>
                    </w:rPr>
                    <w:t>generated by concatenating a first sub-codebook and a second sub-codebook.</w:t>
                  </w:r>
                  <w:r>
                    <w:rPr>
                      <w:rFonts w:ascii="Times" w:hAnsi="Times" w:eastAsia="Batang"/>
                      <w:sz w:val="20"/>
                      <w:szCs w:val="20"/>
                      <w:lang w:val="en-GB" w:eastAsia="en-US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/>
                    <w:contextualSpacing/>
                    <w:textAlignment w:val="auto"/>
                    <w:rPr>
                      <w:rFonts w:eastAsia="等线"/>
                      <w:kern w:val="2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lang w:val="en-GB" w:eastAsia="ja-JP"/>
                    </w:rPr>
                    <w:t>The first sub-codebook comprises HARQ-ACK information bits for PDSCH(s) scheduled by DCI(s) with each scheduling a single PDSCH,</w:t>
                  </w:r>
                  <w:r>
                    <w:rPr>
                      <w:rFonts w:ascii="Times" w:hAnsi="Times" w:eastAsia="Batang"/>
                      <w:sz w:val="20"/>
                      <w:lang w:val="en-GB"/>
                    </w:rPr>
                    <w:t xml:space="preserve"> </w:t>
                  </w: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lang w:val="en-GB" w:eastAsia="ja-JP"/>
                    </w:rPr>
                    <w:t xml:space="preserve">or </w:t>
                  </w: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highlight w:val="yellow"/>
                      <w:lang w:val="en-GB" w:eastAsia="ja-JP"/>
                    </w:rPr>
                    <w:t xml:space="preserve">each scheduling a single cell with multiple PDSCHs on it and </w:t>
                  </w:r>
                  <w:r>
                    <w:rPr>
                      <w:rFonts w:ascii="Times" w:hAnsi="Times" w:eastAsia="ＭＳ 明朝"/>
                      <w:bCs/>
                      <w:i/>
                      <w:iCs/>
                      <w:sz w:val="20"/>
                      <w:szCs w:val="20"/>
                      <w:highlight w:val="yellow"/>
                      <w:lang w:val="en-GB" w:eastAsia="ja-JP"/>
                    </w:rPr>
                    <w:t>nrofHARQ-BundlingGroups</w:t>
                  </w: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highlight w:val="yellow"/>
                      <w:lang w:val="en-GB" w:eastAsia="ja-JP"/>
                    </w:rPr>
                    <w:t xml:space="preserve"> configured as 1</w:t>
                  </w: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lang w:val="en-GB" w:eastAsia="ja-JP"/>
                    </w:rPr>
                    <w:t xml:space="preserve">, and HARQ-ACK information bit(s) for DCI(s) having associated HARQ-ACK information without scheduling PDSCH reception. 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5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b/>
                <w:bCs/>
              </w:rPr>
              <w:t>Summary of change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“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a serving cell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”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to 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“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a single serving cell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”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to reflect the agreement made in RAN1#119. </w:t>
            </w:r>
          </w:p>
          <w:p>
            <w:r>
              <w:rPr>
                <w:b/>
                <w:bCs/>
              </w:rPr>
              <w:t>Consequences if not approved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For t</w:t>
            </w:r>
            <w:r>
              <w:rPr>
                <w:rFonts w:hint="eastAsia" w:cs="Times New Roman"/>
                <w:color w:val="auto"/>
                <w:lang w:val="en-US" w:eastAsia="zh-CN"/>
              </w:rPr>
              <w:t xml:space="preserve">he case of </w:t>
            </w:r>
            <w:r>
              <w:rPr>
                <w:highlight w:val="none"/>
                <w:lang w:eastAsia="zh-CN"/>
              </w:rPr>
              <w:t xml:space="preserve">more than one PDSCH receptions on a serving </w:t>
            </w:r>
            <w:r>
              <w:rPr>
                <w:bCs/>
                <w:highlight w:val="none"/>
              </w:rPr>
              <w:t>cell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>#1</w:t>
            </w:r>
            <w:r>
              <w:rPr>
                <w:rFonts w:hint="eastAsia" w:hAnsi="Cambria Math"/>
                <w:i w:val="0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eastAsia="zh-CN"/>
              </w:rPr>
              <w:t xml:space="preserve">more than one PDSCH receptions on a serving </w:t>
            </w:r>
            <w:r>
              <w:rPr>
                <w:bCs/>
                <w:highlight w:val="none"/>
              </w:rPr>
              <w:t>cell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#2 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scheduled by the same DCI format 1_3 with each cell configured with one TBG bundling group, the HARQ-ACK information bits will be included in the first HARQ-ACK sub-codebook</w:t>
            </w:r>
            <w:r>
              <w:rPr>
                <w:rFonts w:eastAsia="Malgun Gothic"/>
                <w:bCs/>
                <w:i w:val="0"/>
                <w:iCs w:val="0"/>
              </w:rPr>
              <w:t>.</w:t>
            </w:r>
          </w:p>
          <w:p>
            <w:r>
              <w:t>9</w:t>
            </w:r>
            <w:r>
              <w:rPr>
                <w:rFonts w:hint="eastAsia"/>
              </w:rPr>
              <w:t>.</w:t>
            </w:r>
            <w:r>
              <w:t>1.3.1</w:t>
            </w:r>
            <w:r>
              <w:rPr>
                <w:rFonts w:hint="eastAsia"/>
              </w:rPr>
              <w:tab/>
            </w:r>
            <w:r>
              <w:t>Type-2 HARQ-ACK codebook in physical uplink control channel</w:t>
            </w:r>
          </w:p>
          <w:p>
            <w:pPr>
              <w:pStyle w:val="2"/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lang w:val="en-US" w:eastAsia="en-US" w:bidi="ar-SA"/>
              </w:rPr>
              <w:t>&lt;Unchanged parts are omitt</w:t>
            </w:r>
            <w:bookmarkStart w:id="11" w:name="_GoBack"/>
            <w:bookmarkEnd w:id="11"/>
            <w:r>
              <w:rPr>
                <w:rFonts w:ascii="Times New Roman" w:hAnsi="Times New Roman" w:eastAsia="宋体" w:cs="Times New Roman"/>
                <w:color w:val="auto"/>
                <w:lang w:val="en-US" w:eastAsia="en-US" w:bidi="ar-SA"/>
              </w:rPr>
              <w:t>ed&gt;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If a UE </w:t>
            </w:r>
            <w:r>
              <w:rPr>
                <w:lang w:val="en-US" w:eastAsia="zh-CN"/>
              </w:rPr>
              <w:t xml:space="preserve">is provided </w:t>
            </w:r>
            <w:r>
              <w:rPr>
                <w:i/>
                <w:iCs/>
                <w:lang w:val="en-US" w:eastAsia="zh-CN"/>
              </w:rPr>
              <w:t>pdsch-TimeDomainAllocationListForMultiPDSCH-DCI-1-3</w:t>
            </w:r>
            <w:r>
              <w:rPr>
                <w:lang w:val="en-US"/>
              </w:rPr>
              <w:t xml:space="preserve"> for a serving cell in a </w:t>
            </w:r>
            <w:r>
              <w:rPr>
                <w:lang w:eastAsia="zh-CN"/>
              </w:rPr>
              <w:t>set of serving cells provided by</w:t>
            </w:r>
            <w:r>
              <w:rPr>
                <w:i/>
              </w:rPr>
              <w:t xml:space="preserve"> MC-DCI-SetofCells</w:t>
            </w:r>
            <w:r>
              <w:rPr>
                <w:iCs/>
              </w:rPr>
              <w:t xml:space="preserve"> in </w:t>
            </w:r>
            <w:r>
              <w:rPr>
                <w:iCs/>
                <w:lang w:val="en-US"/>
              </w:rPr>
              <w:t>a</w:t>
            </w:r>
            <w:r>
              <w:rPr>
                <w:iCs/>
              </w:rPr>
              <w:t xml:space="preserve"> PUCCH group,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hint="eastAsia" w:cs="Arial"/>
                <w:lang w:eastAsia="zh-CN"/>
              </w:rPr>
              <w:t>he UE determine</w:t>
            </w:r>
            <w:r>
              <w:rPr>
                <w:rFonts w:cs="Arial"/>
                <w:lang w:eastAsia="zh-CN"/>
              </w:rPr>
              <w:t>s</w:t>
            </w:r>
            <w:r>
              <w:rPr>
                <w:rFonts w:hint="eastAsia" w:cs="Arial"/>
                <w:lang w:eastAsia="zh-CN"/>
              </w:rPr>
              <w:t xml:space="preserve">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,⋯,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ACK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−1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according</w:t>
            </w:r>
            <w:r>
              <w:rPr>
                <w:rFonts w:hint="eastAsia"/>
                <w:lang w:eastAsia="zh-CN"/>
              </w:rPr>
              <w:t xml:space="preserve"> to the previous pseudo-code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with the following modifications</w:t>
            </w:r>
          </w:p>
          <w:p>
            <w:pPr>
              <w:pStyle w:val="4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the </w:t>
            </w:r>
            <w:r>
              <w:t xml:space="preserve">first HARQ-ACK sub-codebook </w:t>
            </w:r>
            <w:r>
              <w:rPr>
                <w:lang w:val="en-US"/>
              </w:rPr>
              <w:t xml:space="preserve">is associated with 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 xml:space="preserve">unicast SPS PDSCH receptions 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 xml:space="preserve">any unicast DCI format scheduling a single PDSCH reception on a serving cell 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any unicast DCI format having associated HARQ-ACK information without scheduling a PDSCH reception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highlight w:val="none"/>
                <w:lang w:eastAsia="zh-CN"/>
              </w:rPr>
              <w:t xml:space="preserve">any DCI format 1_3 scheduling more than one PDSCH receptions on a </w:t>
            </w:r>
            <w:r>
              <w:rPr>
                <w:rFonts w:hint="eastAsia"/>
                <w:color w:val="FF0000"/>
                <w:highlight w:val="none"/>
                <w:u w:val="single"/>
                <w:lang w:val="en-US" w:eastAsia="zh-CN"/>
              </w:rPr>
              <w:t xml:space="preserve">single </w:t>
            </w:r>
            <w:r>
              <w:rPr>
                <w:highlight w:val="none"/>
                <w:lang w:eastAsia="zh-CN"/>
              </w:rPr>
              <w:t xml:space="preserve">serving </w:t>
            </w:r>
            <w:r>
              <w:rPr>
                <w:bCs/>
                <w:highlight w:val="none"/>
              </w:rPr>
              <w:t xml:space="preserve">cell </w:t>
            </w:r>
            <m:oMath>
              <m:r>
                <m:rPr/>
                <w:rPr>
                  <w:rFonts w:ascii="Cambria Math" w:hAnsi="Cambria Math"/>
                  <w:highlight w:val="none"/>
                </w:rPr>
                <m:t>c</m:t>
              </m:r>
            </m:oMath>
            <w:r>
              <w:rPr>
                <w:bCs/>
                <w:highlight w:val="none"/>
              </w:rPr>
              <w:t xml:space="preserve"> </w:t>
            </w:r>
            <w:r>
              <w:rPr>
                <w:highlight w:val="none"/>
                <w:lang w:val="en-US" w:eastAsia="zh-CN"/>
              </w:rPr>
              <w:t xml:space="preserve">for which the UE is provided </w:t>
            </w:r>
            <w:r>
              <w:rPr>
                <w:i/>
                <w:iCs/>
                <w:highlight w:val="none"/>
              </w:rPr>
              <w:t>nrofHARQ-BundlingGroups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val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ascii="Cambria Math"/>
                      <w:highlight w:val="none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highlight w:val="none"/>
                    </w:rPr>
                    <m:t>HARQ−ACK,</m:t>
                  </m:r>
                  <m:r>
                    <m:rPr/>
                    <w:rPr>
                      <w:rFonts w:ascii="Cambria Math" w:hAnsi="Cambria Math"/>
                      <w:highlight w:val="none"/>
                    </w:rPr>
                    <m:t>c</m:t>
                  </m:r>
                  <m:ctrlPr>
                    <w:rPr>
                      <w:rFonts w:ascii="Cambria Math" w:hAnsi="Cambria Math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highlight w:val="none"/>
                      <w:lang w:val="en-US"/>
                    </w:rPr>
                    <m:t>TBG,max</m:t>
                  </m:r>
                  <m:ctrlPr>
                    <w:rPr>
                      <w:rFonts w:ascii="Cambria Math" w:hAnsi="Cambria Math"/>
                      <w:highlight w:val="none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highlight w:val="none"/>
                </w:rPr>
                <m:t>=1</m:t>
              </m:r>
            </m:oMath>
          </w:p>
          <w:p>
            <w:pPr>
              <w:pStyle w:val="2"/>
              <w:jc w:val="center"/>
              <w:rPr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lang w:val="en-US" w:eastAsia="en-US" w:bidi="ar-SA"/>
              </w:rPr>
              <w:t>&lt;Unchanged parts are omitted&gt;</w:t>
            </w:r>
          </w:p>
        </w:tc>
      </w:tr>
    </w:tbl>
    <w:p>
      <w:pPr>
        <w:spacing w:before="120" w:beforeLines="50"/>
        <w:rPr>
          <w:rFonts w:hint="default"/>
          <w:i/>
          <w:lang w:val="en-US" w:eastAsia="zh-CN"/>
        </w:rPr>
      </w:pPr>
    </w:p>
    <w:p>
      <w:pPr>
        <w:pStyle w:val="4"/>
      </w:pPr>
      <w:r>
        <w:t>Conclusion</w:t>
      </w:r>
    </w:p>
    <w:p>
      <w:r>
        <w:rPr>
          <w:rFonts w:hint="eastAsia" w:ascii="Times New Roman" w:hAnsi="Times New Roman" w:cs="Times New Roman"/>
          <w:lang w:val="en-US" w:eastAsia="zh-CN"/>
        </w:rPr>
        <w:t>In this contribution, the proposals are summarized as follows:</w:t>
      </w:r>
    </w:p>
    <w:p>
      <w:pPr>
        <w:spacing w:before="120" w:beforeLines="50"/>
        <w:rPr>
          <w:i/>
        </w:rPr>
      </w:pPr>
      <w:r>
        <w:rPr>
          <w:rFonts w:hint="eastAsia"/>
          <w:b/>
          <w:bCs/>
          <w:i/>
          <w:lang w:val="en-US" w:eastAsia="zh-CN"/>
        </w:rPr>
        <w:t>Proposal 1: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Adopt the following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TP for clause 9.1.3.1 in TS38.213 to correct only a single cell scheduled by one DCI format 1_3 with more than one PDSCH receptions and one TBG bundling group configured for the cell can be associated with the first HARQ-ACK sub-codebook.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9" w:type="dxa"/>
          </w:tcPr>
          <w:p>
            <w:pPr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b/>
                <w:bCs/>
              </w:rPr>
              <w:t>Reason for change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For Rel-19MCE, </w:t>
            </w:r>
            <w:r>
              <w:rPr>
                <w:lang w:val="en-US"/>
              </w:rPr>
              <w:t xml:space="preserve">the </w:t>
            </w:r>
            <w:r>
              <w:t xml:space="preserve">first HARQ-ACK sub-codebook </w:t>
            </w:r>
            <w:r>
              <w:rPr>
                <w:lang w:val="en-US"/>
              </w:rPr>
              <w:t>is associated with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highlight w:val="yellow"/>
                <w:lang w:eastAsia="zh-CN"/>
              </w:rPr>
              <w:t xml:space="preserve">any DCI format 1_3 scheduling more than one PDSCH receptions on a serving </w:t>
            </w:r>
            <w:r>
              <w:rPr>
                <w:bCs/>
                <w:highlight w:val="yellow"/>
              </w:rPr>
              <w:t xml:space="preserve">cell </w:t>
            </w:r>
            <m:oMath>
              <m:r>
                <m:rPr/>
                <w:rPr>
                  <w:rFonts w:ascii="Cambria Math" w:hAnsi="Cambria Math"/>
                  <w:highlight w:val="yellow"/>
                </w:rPr>
                <m:t>c</m:t>
              </m:r>
            </m:oMath>
            <w:r>
              <w:rPr>
                <w:bCs/>
                <w:highlight w:val="yellow"/>
              </w:rPr>
              <w:t xml:space="preserve"> </w:t>
            </w:r>
            <w:r>
              <w:rPr>
                <w:highlight w:val="yellow"/>
                <w:lang w:val="en-US" w:eastAsia="zh-CN"/>
              </w:rPr>
              <w:t xml:space="preserve">for which the UE is provided </w:t>
            </w:r>
            <w:r>
              <w:rPr>
                <w:i/>
                <w:iCs/>
                <w:highlight w:val="yellow"/>
              </w:rPr>
              <w:t>nrofHARQ-BundlingGroups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</w:rPr>
                    <m:t>HARQ−ACK,</m:t>
                  </m:r>
                  <m:r>
                    <m:rPr/>
                    <w:rPr>
                      <w:rFonts w:ascii="Cambria Math" w:hAnsi="Cambria Math"/>
                      <w:highlight w:val="yellow"/>
                    </w:rPr>
                    <m:t>c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highlight w:val="yellow"/>
                      <w:lang w:val="en-US"/>
                    </w:rPr>
                    <m:t>TBG,max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highlight w:val="yellow"/>
                </w:rPr>
                <m:t>=1</m:t>
              </m:r>
            </m:oMath>
            <w:r>
              <w:rPr>
                <w:rFonts w:hint="eastAsia" w:hAnsi="Cambria Math"/>
                <w:i w:val="0"/>
                <w:highlight w:val="yellow"/>
                <w:lang w:val="en-US" w:eastAsia="zh-CN"/>
              </w:rPr>
              <w:t xml:space="preserve">. </w:t>
            </w:r>
            <w:r>
              <w:rPr>
                <w:rFonts w:hint="eastAsia" w:cs="Times New Roman"/>
                <w:color w:val="auto"/>
                <w:lang w:val="en-US" w:eastAsia="zh-CN"/>
              </w:rPr>
              <w:t xml:space="preserve">While, this bullet could comprise the case of </w:t>
            </w:r>
            <w:r>
              <w:rPr>
                <w:highlight w:val="none"/>
                <w:lang w:eastAsia="zh-CN"/>
              </w:rPr>
              <w:t xml:space="preserve">more than one PDSCH receptions on a serving </w:t>
            </w:r>
            <w:r>
              <w:rPr>
                <w:bCs/>
                <w:highlight w:val="none"/>
              </w:rPr>
              <w:t>cell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>#1</w:t>
            </w:r>
            <w:r>
              <w:rPr>
                <w:rFonts w:hint="eastAsia" w:hAnsi="Cambria Math"/>
                <w:i w:val="0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eastAsia="zh-CN"/>
              </w:rPr>
              <w:t xml:space="preserve">more than one PDSCH receptions on a serving </w:t>
            </w:r>
            <w:r>
              <w:rPr>
                <w:bCs/>
                <w:highlight w:val="none"/>
              </w:rPr>
              <w:t>cell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#2 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 xml:space="preserve">scheduled by the same DCI format 1_3 with each cell configured with one TBG bundling group. </w:t>
            </w:r>
            <w:r>
              <w:rPr>
                <w:rFonts w:hint="eastAsia" w:cs="Times New Roman"/>
                <w:color w:val="auto"/>
                <w:lang w:val="en-US" w:eastAsia="zh-CN"/>
              </w:rPr>
              <w:t>The HARQ-ACK information bits for this case shall be included in the second HARQ-ACK sub-codebook, not the first HARQ-ACK sub-codebook.</w:t>
            </w:r>
          </w:p>
          <w:tbl>
            <w:tblPr>
              <w:tblStyle w:val="24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00" w:type="pct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/>
                    <w:textAlignment w:val="auto"/>
                    <w:rPr>
                      <w:rFonts w:hint="default" w:ascii="Times" w:hAnsi="Times" w:eastAsia="等线"/>
                      <w:sz w:val="20"/>
                      <w:highlight w:val="green"/>
                      <w:lang w:val="en-US" w:eastAsia="zh-CN"/>
                    </w:rPr>
                  </w:pPr>
                  <w:r>
                    <w:rPr>
                      <w:rFonts w:hint="eastAsia" w:ascii="Times" w:hAnsi="Times" w:eastAsia="等线"/>
                      <w:sz w:val="20"/>
                      <w:highlight w:val="green"/>
                      <w:lang w:val="en-GB"/>
                    </w:rPr>
                    <w:t>Agreement</w:t>
                  </w:r>
                  <w:r>
                    <w:rPr>
                      <w:rFonts w:hint="eastAsia" w:ascii="Times" w:hAnsi="Times" w:eastAsia="等线"/>
                      <w:sz w:val="20"/>
                      <w:highlight w:val="green"/>
                      <w:lang w:val="en-US" w:eastAsia="zh-CN"/>
                    </w:rPr>
                    <w:t>(RAN1#119)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/>
                    <w:textAlignment w:val="auto"/>
                    <w:rPr>
                      <w:rFonts w:ascii="Times" w:hAnsi="Times" w:eastAsia="Batang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" w:hAnsi="Times" w:eastAsia="Batang"/>
                      <w:sz w:val="20"/>
                      <w:szCs w:val="20"/>
                      <w:lang w:val="en-GB" w:eastAsia="en-US"/>
                    </w:rPr>
                    <w:t xml:space="preserve">Type-2 HARQ-ACK codebook is </w:t>
                  </w: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lang w:val="en-GB" w:eastAsia="ja-JP"/>
                    </w:rPr>
                    <w:t>generated by concatenating a first sub-codebook and a second sub-codebook.</w:t>
                  </w:r>
                  <w:r>
                    <w:rPr>
                      <w:rFonts w:ascii="Times" w:hAnsi="Times" w:eastAsia="Batang"/>
                      <w:sz w:val="20"/>
                      <w:szCs w:val="20"/>
                      <w:lang w:val="en-GB" w:eastAsia="en-US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/>
                    <w:contextualSpacing/>
                    <w:textAlignment w:val="auto"/>
                    <w:rPr>
                      <w:rFonts w:eastAsia="等线"/>
                      <w:kern w:val="2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lang w:val="en-GB" w:eastAsia="ja-JP"/>
                    </w:rPr>
                    <w:t>The first sub-codebook comprises HARQ-ACK information bits for PDSCH(s) scheduled by DCI(s) with each scheduling a single PDSCH,</w:t>
                  </w:r>
                  <w:r>
                    <w:rPr>
                      <w:rFonts w:ascii="Times" w:hAnsi="Times" w:eastAsia="Batang"/>
                      <w:sz w:val="20"/>
                      <w:lang w:val="en-GB"/>
                    </w:rPr>
                    <w:t xml:space="preserve"> </w:t>
                  </w: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lang w:val="en-GB" w:eastAsia="ja-JP"/>
                    </w:rPr>
                    <w:t xml:space="preserve">or </w:t>
                  </w: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highlight w:val="yellow"/>
                      <w:lang w:val="en-GB" w:eastAsia="ja-JP"/>
                    </w:rPr>
                    <w:t xml:space="preserve">each scheduling a single cell with multiple PDSCHs on it and </w:t>
                  </w:r>
                  <w:r>
                    <w:rPr>
                      <w:rFonts w:ascii="Times" w:hAnsi="Times" w:eastAsia="ＭＳ 明朝"/>
                      <w:bCs/>
                      <w:i/>
                      <w:iCs/>
                      <w:sz w:val="20"/>
                      <w:szCs w:val="20"/>
                      <w:highlight w:val="yellow"/>
                      <w:lang w:val="en-GB" w:eastAsia="ja-JP"/>
                    </w:rPr>
                    <w:t>nrofHARQ-BundlingGroups</w:t>
                  </w: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highlight w:val="yellow"/>
                      <w:lang w:val="en-GB" w:eastAsia="ja-JP"/>
                    </w:rPr>
                    <w:t xml:space="preserve"> configured as 1</w:t>
                  </w:r>
                  <w:r>
                    <w:rPr>
                      <w:rFonts w:ascii="Times" w:hAnsi="Times" w:eastAsia="ＭＳ 明朝"/>
                      <w:bCs/>
                      <w:sz w:val="20"/>
                      <w:szCs w:val="20"/>
                      <w:lang w:val="en-GB" w:eastAsia="ja-JP"/>
                    </w:rPr>
                    <w:t xml:space="preserve">, and HARQ-ACK information bit(s) for DCI(s) having associated HARQ-ACK information without scheduling PDSCH reception. 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5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b/>
                <w:bCs/>
              </w:rPr>
              <w:t>Summary of change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“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a serving cell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”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to 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“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a single serving cell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”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to reflect the agreement made in RAN1#119. </w:t>
            </w:r>
          </w:p>
          <w:p>
            <w:r>
              <w:rPr>
                <w:b/>
                <w:bCs/>
              </w:rPr>
              <w:t>Consequences if not approved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For t</w:t>
            </w:r>
            <w:r>
              <w:rPr>
                <w:rFonts w:hint="eastAsia" w:cs="Times New Roman"/>
                <w:color w:val="auto"/>
                <w:lang w:val="en-US" w:eastAsia="zh-CN"/>
              </w:rPr>
              <w:t xml:space="preserve">he case of </w:t>
            </w:r>
            <w:r>
              <w:rPr>
                <w:highlight w:val="none"/>
                <w:lang w:eastAsia="zh-CN"/>
              </w:rPr>
              <w:t xml:space="preserve">more than one PDSCH receptions on a serving </w:t>
            </w:r>
            <w:r>
              <w:rPr>
                <w:bCs/>
                <w:highlight w:val="none"/>
              </w:rPr>
              <w:t>cell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>#1</w:t>
            </w:r>
            <w:r>
              <w:rPr>
                <w:rFonts w:hint="eastAsia" w:hAnsi="Cambria Math"/>
                <w:i w:val="0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  <w:lang w:eastAsia="zh-CN"/>
              </w:rPr>
              <w:t xml:space="preserve">more than one PDSCH receptions on a serving </w:t>
            </w:r>
            <w:r>
              <w:rPr>
                <w:bCs/>
                <w:highlight w:val="none"/>
              </w:rPr>
              <w:t>cell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#2 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scheduled by the same DCI format 1_3 with each cell configured with one TBG bundling group, the HARQ-ACK information bits will be included in the first HARQ-ACK sub-codebook</w:t>
            </w:r>
            <w:r>
              <w:rPr>
                <w:rFonts w:eastAsia="Malgun Gothic"/>
                <w:bCs/>
                <w:i w:val="0"/>
                <w:iCs w:val="0"/>
              </w:rPr>
              <w:t>.</w:t>
            </w:r>
          </w:p>
          <w:p>
            <w:r>
              <w:t>9</w:t>
            </w:r>
            <w:r>
              <w:rPr>
                <w:rFonts w:hint="eastAsia"/>
              </w:rPr>
              <w:t>.</w:t>
            </w:r>
            <w:r>
              <w:t>1.3.1</w:t>
            </w:r>
            <w:r>
              <w:rPr>
                <w:rFonts w:hint="eastAsia"/>
              </w:rPr>
              <w:tab/>
            </w:r>
            <w:r>
              <w:t>Type-2 HARQ-ACK codebook in physical uplink control channel</w:t>
            </w:r>
          </w:p>
          <w:p>
            <w:pPr>
              <w:pStyle w:val="2"/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lang w:val="en-US" w:eastAsia="en-US" w:bidi="ar-SA"/>
              </w:rPr>
              <w:t>&lt;Unchanged parts are omitted&gt;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If a UE </w:t>
            </w:r>
            <w:r>
              <w:rPr>
                <w:lang w:val="en-US" w:eastAsia="zh-CN"/>
              </w:rPr>
              <w:t xml:space="preserve">is provided </w:t>
            </w:r>
            <w:r>
              <w:rPr>
                <w:i/>
                <w:iCs/>
                <w:lang w:val="en-US" w:eastAsia="zh-CN"/>
              </w:rPr>
              <w:t>pdsch-TimeDomainAllocationListForMultiPDSCH-DCI-1-3</w:t>
            </w:r>
            <w:r>
              <w:rPr>
                <w:lang w:val="en-US"/>
              </w:rPr>
              <w:t xml:space="preserve"> for a serving cell in a </w:t>
            </w:r>
            <w:r>
              <w:rPr>
                <w:lang w:eastAsia="zh-CN"/>
              </w:rPr>
              <w:t>set of serving cells provided by</w:t>
            </w:r>
            <w:r>
              <w:rPr>
                <w:i/>
              </w:rPr>
              <w:t xml:space="preserve"> MC-DCI-SetofCells</w:t>
            </w:r>
            <w:r>
              <w:rPr>
                <w:iCs/>
              </w:rPr>
              <w:t xml:space="preserve"> in </w:t>
            </w:r>
            <w:r>
              <w:rPr>
                <w:iCs/>
                <w:lang w:val="en-US"/>
              </w:rPr>
              <w:t>a</w:t>
            </w:r>
            <w:r>
              <w:rPr>
                <w:iCs/>
              </w:rPr>
              <w:t xml:space="preserve"> PUCCH group,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hint="eastAsia" w:cs="Arial"/>
                <w:lang w:eastAsia="zh-CN"/>
              </w:rPr>
              <w:t>he UE determine</w:t>
            </w:r>
            <w:r>
              <w:rPr>
                <w:rFonts w:cs="Arial"/>
                <w:lang w:eastAsia="zh-CN"/>
              </w:rPr>
              <w:t>s</w:t>
            </w:r>
            <w:r>
              <w:rPr>
                <w:rFonts w:hint="eastAsia" w:cs="Arial"/>
                <w:lang w:eastAsia="zh-CN"/>
              </w:rPr>
              <w:t xml:space="preserve">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,⋯,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O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ACK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/>
                    </w:rPr>
                    <m:t>−1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/>
                    <w:rPr>
                      <w:rFonts w:ascii="Cambria Math"/>
                    </w:rPr>
                    <m:t>ACK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according</w:t>
            </w:r>
            <w:r>
              <w:rPr>
                <w:rFonts w:hint="eastAsia"/>
                <w:lang w:eastAsia="zh-CN"/>
              </w:rPr>
              <w:t xml:space="preserve"> to the previous pseudo-code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with the following modifications</w:t>
            </w:r>
          </w:p>
          <w:p>
            <w:pPr>
              <w:pStyle w:val="43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the </w:t>
            </w:r>
            <w:r>
              <w:t xml:space="preserve">first HARQ-ACK sub-codebook </w:t>
            </w:r>
            <w:r>
              <w:rPr>
                <w:lang w:val="en-US"/>
              </w:rPr>
              <w:t xml:space="preserve">is associated with 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 xml:space="preserve">unicast SPS PDSCH receptions 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 xml:space="preserve">any unicast DCI format scheduling a single PDSCH reception on a serving cell 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any unicast DCI format having associated HARQ-ACK information without scheduling a PDSCH reception</w:t>
            </w:r>
          </w:p>
          <w:p>
            <w:pPr>
              <w:pStyle w:val="44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highlight w:val="none"/>
                <w:lang w:eastAsia="zh-CN"/>
              </w:rPr>
              <w:t xml:space="preserve">any DCI format 1_3 scheduling more than one PDSCH receptions on a </w:t>
            </w:r>
            <w:r>
              <w:rPr>
                <w:rFonts w:hint="eastAsia"/>
                <w:color w:val="FF0000"/>
                <w:highlight w:val="none"/>
                <w:u w:val="single"/>
                <w:lang w:val="en-US" w:eastAsia="zh-CN"/>
              </w:rPr>
              <w:t xml:space="preserve">single </w:t>
            </w:r>
            <w:r>
              <w:rPr>
                <w:highlight w:val="none"/>
                <w:lang w:eastAsia="zh-CN"/>
              </w:rPr>
              <w:t xml:space="preserve">serving </w:t>
            </w:r>
            <w:r>
              <w:rPr>
                <w:bCs/>
                <w:highlight w:val="none"/>
              </w:rPr>
              <w:t xml:space="preserve">cell </w:t>
            </w:r>
            <m:oMath>
              <m:r>
                <m:rPr/>
                <w:rPr>
                  <w:rFonts w:ascii="Cambria Math" w:hAnsi="Cambria Math"/>
                  <w:highlight w:val="none"/>
                </w:rPr>
                <m:t>c</m:t>
              </m:r>
            </m:oMath>
            <w:r>
              <w:rPr>
                <w:bCs/>
                <w:highlight w:val="none"/>
              </w:rPr>
              <w:t xml:space="preserve"> </w:t>
            </w:r>
            <w:r>
              <w:rPr>
                <w:highlight w:val="none"/>
                <w:lang w:val="en-US" w:eastAsia="zh-CN"/>
              </w:rPr>
              <w:t xml:space="preserve">for which the UE is provided </w:t>
            </w:r>
            <w:r>
              <w:rPr>
                <w:i/>
                <w:iCs/>
                <w:highlight w:val="none"/>
              </w:rPr>
              <w:t>nrofHARQ-BundlingGroups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val="en-US"/>
              </w:rPr>
              <w:t xml:space="preserve">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ascii="Cambria Math"/>
                      <w:highlight w:val="none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highlight w:val="none"/>
                    </w:rPr>
                    <m:t>HARQ−ACK,</m:t>
                  </m:r>
                  <m:r>
                    <m:rPr/>
                    <w:rPr>
                      <w:rFonts w:ascii="Cambria Math" w:hAnsi="Cambria Math"/>
                      <w:highlight w:val="none"/>
                    </w:rPr>
                    <m:t>c</m:t>
                  </m:r>
                  <m:ctrlPr>
                    <w:rPr>
                      <w:rFonts w:ascii="Cambria Math" w:hAnsi="Cambria Math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highlight w:val="none"/>
                      <w:lang w:val="en-US"/>
                    </w:rPr>
                    <m:t>TBG,max</m:t>
                  </m:r>
                  <m:ctrlPr>
                    <w:rPr>
                      <w:rFonts w:ascii="Cambria Math" w:hAnsi="Cambria Math"/>
                      <w:highlight w:val="none"/>
                    </w:rPr>
                  </m:ctrlPr>
                </m:sup>
              </m:sSubSup>
              <m:r>
                <m:rPr/>
                <w:rPr>
                  <w:rFonts w:ascii="Cambria Math" w:hAnsi="Cambria Math"/>
                  <w:highlight w:val="none"/>
                </w:rPr>
                <m:t>=1</m:t>
              </m:r>
            </m:oMath>
          </w:p>
          <w:p>
            <w:pPr>
              <w:pStyle w:val="2"/>
              <w:jc w:val="center"/>
              <w:rPr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lang w:val="en-US" w:eastAsia="en-US" w:bidi="ar-SA"/>
              </w:rPr>
              <w:t>&lt;Unchanged parts are omitted&gt;</w:t>
            </w:r>
          </w:p>
        </w:tc>
      </w:tr>
    </w:tbl>
    <w:p>
      <w:pPr>
        <w:pStyle w:val="2"/>
        <w:rPr>
          <w:lang w:val="en-US" w:eastAsia="zh-CN"/>
        </w:rPr>
      </w:pPr>
    </w:p>
    <w:p>
      <w:pPr>
        <w:pStyle w:val="4"/>
      </w:pPr>
      <w:r>
        <w:rPr>
          <w:rFonts w:hint="eastAsia"/>
          <w:lang w:val="en-US" w:eastAsia="zh-CN"/>
        </w:rPr>
        <w:t>Reference</w:t>
      </w:r>
    </w:p>
    <w:p>
      <w:pPr>
        <w:pStyle w:val="35"/>
        <w:numPr>
          <w:ilvl w:val="0"/>
          <w:numId w:val="15"/>
        </w:numPr>
        <w:ind w:left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TS38.213-j10</w:t>
      </w:r>
      <w:r>
        <w:t>, Physical layer procedures for control</w:t>
      </w:r>
      <w:r>
        <w:rPr>
          <w:rFonts w:hint="eastAsia"/>
          <w:lang w:val="en-US" w:eastAsia="zh-CN"/>
        </w:rPr>
        <w:t>.</w:t>
      </w:r>
    </w:p>
    <w:p>
      <w:pPr>
        <w:pStyle w:val="35"/>
        <w:ind w:left="0"/>
        <w:rPr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DB933F"/>
    <w:multiLevelType w:val="singleLevel"/>
    <w:tmpl w:val="9BDB933F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1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3">
    <w:nsid w:val="15F505D4"/>
    <w:multiLevelType w:val="multilevel"/>
    <w:tmpl w:val="15F505D4"/>
    <w:lvl w:ilvl="0" w:tentative="0">
      <w:start w:val="1"/>
      <w:numFmt w:val="decimal"/>
      <w:pStyle w:val="37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955AD"/>
    <w:multiLevelType w:val="multilevel"/>
    <w:tmpl w:val="1AB955AD"/>
    <w:lvl w:ilvl="0" w:tentative="0">
      <w:start w:val="1"/>
      <w:numFmt w:val="bullet"/>
      <w:lvlText w:val="–"/>
      <w:lvlJc w:val="left"/>
      <w:pPr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6">
    <w:nsid w:val="34166322"/>
    <w:multiLevelType w:val="multilevel"/>
    <w:tmpl w:val="34166322"/>
    <w:lvl w:ilvl="0" w:tentative="0">
      <w:start w:val="1"/>
      <w:numFmt w:val="bullet"/>
      <w:lvlText w:val="•"/>
      <w:lvlJc w:val="left"/>
      <w:pPr>
        <w:ind w:left="360" w:hanging="360"/>
      </w:pPr>
      <w:rPr>
        <w:rFonts w:hint="default" w:ascii="Arial" w:hAnsi="Arial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  <w:color w:val="FF0000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382946E8"/>
    <w:multiLevelType w:val="multilevel"/>
    <w:tmpl w:val="382946E8"/>
    <w:lvl w:ilvl="0" w:tentative="0">
      <w:start w:val="1"/>
      <w:numFmt w:val="bullet"/>
      <w:pStyle w:val="47"/>
      <w:lvlText w:val="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3BDE7A6F"/>
    <w:multiLevelType w:val="multilevel"/>
    <w:tmpl w:val="3BDE7A6F"/>
    <w:lvl w:ilvl="0" w:tentative="0">
      <w:start w:val="1"/>
      <w:numFmt w:val="decimal"/>
      <w:pStyle w:val="4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5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pStyle w:val="6"/>
      <w:lvlText w:val="%1.%2.%3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7"/>
      <w:lvlText w:val="%1.%2.%3.%4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pStyle w:val="8"/>
      <w:lvlText w:val="%1.%2.%3.%4.%5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9"/>
      <w:lvlText w:val="%1.%2.%3.%4.%5.%6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10"/>
      <w:lvlText w:val="%1.%2.%3.%4.%5.%6.%7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pStyle w:val="11"/>
      <w:lvlText w:val="%1.%2.%3.%4.%5.%6.%7.%8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pStyle w:val="12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9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0">
    <w:nsid w:val="464D3319"/>
    <w:multiLevelType w:val="multilevel"/>
    <w:tmpl w:val="464D3319"/>
    <w:lvl w:ilvl="0" w:tentative="0">
      <w:start w:val="1"/>
      <w:numFmt w:val="decimal"/>
      <w:pStyle w:val="56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1">
    <w:nsid w:val="474274C7"/>
    <w:multiLevelType w:val="multilevel"/>
    <w:tmpl w:val="474274C7"/>
    <w:lvl w:ilvl="0" w:tentative="0">
      <w:start w:val="1"/>
      <w:numFmt w:val="decimalZero"/>
      <w:pStyle w:val="67"/>
      <w:lvlText w:val="[00%1]"/>
      <w:lvlJc w:val="left"/>
      <w:pPr>
        <w:tabs>
          <w:tab w:val="left" w:pos="1134"/>
        </w:tabs>
        <w:ind w:left="0" w:firstLine="0"/>
      </w:pPr>
      <w:rPr>
        <w:rFonts w:hint="default" w:ascii="Times New Roman" w:hAnsi="Times New Roman"/>
        <w:b/>
        <w:i w:val="0"/>
        <w:color w:val="000000"/>
      </w:rPr>
    </w:lvl>
    <w:lvl w:ilvl="1" w:tentative="0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 w:tentative="0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 w:tentative="0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 w:tentative="0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 w:tentative="0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 w:tentative="0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 w:tentative="0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 w:tentative="0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>
    <w:nsid w:val="5F1912B1"/>
    <w:multiLevelType w:val="multilevel"/>
    <w:tmpl w:val="5F1912B1"/>
    <w:lvl w:ilvl="0" w:tentative="0">
      <w:start w:val="1"/>
      <w:numFmt w:val="bullet"/>
      <w:pStyle w:val="6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64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65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66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9"/>
  </w:num>
  <w:num w:numId="5">
    <w:abstractNumId w:val="12"/>
  </w:num>
  <w:num w:numId="6">
    <w:abstractNumId w:val="5"/>
  </w:num>
  <w:num w:numId="7">
    <w:abstractNumId w:val="3"/>
  </w:num>
  <w:num w:numId="8">
    <w:abstractNumId w:val="7"/>
  </w:num>
  <w:num w:numId="9">
    <w:abstractNumId w:val="10"/>
  </w:num>
  <w:num w:numId="10">
    <w:abstractNumId w:val="2"/>
    <w:lvlOverride w:ilvl="0">
      <w:lvl w:ilvl="0" w:tentative="1">
        <w:start w:val="1"/>
        <w:numFmt w:val="bullet"/>
        <w:pStyle w:val="57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1">
    <w:abstractNumId w:val="13"/>
  </w:num>
  <w:num w:numId="12">
    <w:abstractNumId w:val="11"/>
  </w:num>
  <w:num w:numId="13">
    <w:abstractNumId w:val="6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2A3"/>
    <w:rsid w:val="00012041"/>
    <w:rsid w:val="00015A55"/>
    <w:rsid w:val="00017FEB"/>
    <w:rsid w:val="00026559"/>
    <w:rsid w:val="00027DF6"/>
    <w:rsid w:val="00030F70"/>
    <w:rsid w:val="000313A7"/>
    <w:rsid w:val="00046A52"/>
    <w:rsid w:val="00051DE0"/>
    <w:rsid w:val="000522CE"/>
    <w:rsid w:val="00060775"/>
    <w:rsid w:val="00065873"/>
    <w:rsid w:val="00070003"/>
    <w:rsid w:val="00070262"/>
    <w:rsid w:val="000710AB"/>
    <w:rsid w:val="00072F10"/>
    <w:rsid w:val="00075F0A"/>
    <w:rsid w:val="00085B84"/>
    <w:rsid w:val="000A1F9D"/>
    <w:rsid w:val="000A548C"/>
    <w:rsid w:val="000A5F9B"/>
    <w:rsid w:val="000B2441"/>
    <w:rsid w:val="000B3036"/>
    <w:rsid w:val="000B5D68"/>
    <w:rsid w:val="000B615E"/>
    <w:rsid w:val="000B7303"/>
    <w:rsid w:val="000C173C"/>
    <w:rsid w:val="000C488F"/>
    <w:rsid w:val="000C76AA"/>
    <w:rsid w:val="000D2717"/>
    <w:rsid w:val="000D501A"/>
    <w:rsid w:val="000D7CE9"/>
    <w:rsid w:val="000F1A80"/>
    <w:rsid w:val="000F305E"/>
    <w:rsid w:val="001019EA"/>
    <w:rsid w:val="001109E7"/>
    <w:rsid w:val="0011508B"/>
    <w:rsid w:val="00120F9E"/>
    <w:rsid w:val="001230F5"/>
    <w:rsid w:val="0012310B"/>
    <w:rsid w:val="0012433F"/>
    <w:rsid w:val="00130F91"/>
    <w:rsid w:val="00145BE2"/>
    <w:rsid w:val="00146F4A"/>
    <w:rsid w:val="0015301A"/>
    <w:rsid w:val="0015542E"/>
    <w:rsid w:val="00155430"/>
    <w:rsid w:val="00162BCD"/>
    <w:rsid w:val="00162D5A"/>
    <w:rsid w:val="00163060"/>
    <w:rsid w:val="00166035"/>
    <w:rsid w:val="001710D4"/>
    <w:rsid w:val="00177643"/>
    <w:rsid w:val="001778F9"/>
    <w:rsid w:val="00182285"/>
    <w:rsid w:val="00195BC2"/>
    <w:rsid w:val="001A39BB"/>
    <w:rsid w:val="001A43F5"/>
    <w:rsid w:val="001A4838"/>
    <w:rsid w:val="001A4977"/>
    <w:rsid w:val="001B6A64"/>
    <w:rsid w:val="001C1D8C"/>
    <w:rsid w:val="001C1E7C"/>
    <w:rsid w:val="001C20E6"/>
    <w:rsid w:val="001C397B"/>
    <w:rsid w:val="001D29E8"/>
    <w:rsid w:val="001D3C86"/>
    <w:rsid w:val="001D701A"/>
    <w:rsid w:val="001D704F"/>
    <w:rsid w:val="001E1F5B"/>
    <w:rsid w:val="001F1D0B"/>
    <w:rsid w:val="001F2CB7"/>
    <w:rsid w:val="001F2F82"/>
    <w:rsid w:val="002008C7"/>
    <w:rsid w:val="00203AFE"/>
    <w:rsid w:val="002076AC"/>
    <w:rsid w:val="00210793"/>
    <w:rsid w:val="00212787"/>
    <w:rsid w:val="00225836"/>
    <w:rsid w:val="00226FAD"/>
    <w:rsid w:val="002270D9"/>
    <w:rsid w:val="00233AE1"/>
    <w:rsid w:val="00250CA3"/>
    <w:rsid w:val="0025209E"/>
    <w:rsid w:val="002559E4"/>
    <w:rsid w:val="00256CC2"/>
    <w:rsid w:val="00262C86"/>
    <w:rsid w:val="0026664C"/>
    <w:rsid w:val="00280711"/>
    <w:rsid w:val="00280F2A"/>
    <w:rsid w:val="0028552F"/>
    <w:rsid w:val="00287660"/>
    <w:rsid w:val="002904DA"/>
    <w:rsid w:val="00297011"/>
    <w:rsid w:val="002A3D48"/>
    <w:rsid w:val="002B133E"/>
    <w:rsid w:val="002B21B5"/>
    <w:rsid w:val="002D0B7E"/>
    <w:rsid w:val="002D2B71"/>
    <w:rsid w:val="002D301A"/>
    <w:rsid w:val="002D37FE"/>
    <w:rsid w:val="002D5C45"/>
    <w:rsid w:val="002E0C24"/>
    <w:rsid w:val="002F1FAA"/>
    <w:rsid w:val="002F3DB1"/>
    <w:rsid w:val="00300F01"/>
    <w:rsid w:val="00302474"/>
    <w:rsid w:val="00311ADA"/>
    <w:rsid w:val="00324023"/>
    <w:rsid w:val="003264B7"/>
    <w:rsid w:val="0032668B"/>
    <w:rsid w:val="00326F07"/>
    <w:rsid w:val="0033238A"/>
    <w:rsid w:val="003343A5"/>
    <w:rsid w:val="00337F0E"/>
    <w:rsid w:val="00340B20"/>
    <w:rsid w:val="00342302"/>
    <w:rsid w:val="0034579B"/>
    <w:rsid w:val="00355C5B"/>
    <w:rsid w:val="00360F8E"/>
    <w:rsid w:val="003635BB"/>
    <w:rsid w:val="00377D4E"/>
    <w:rsid w:val="003811DF"/>
    <w:rsid w:val="00391338"/>
    <w:rsid w:val="003914C3"/>
    <w:rsid w:val="00391E34"/>
    <w:rsid w:val="00391FF7"/>
    <w:rsid w:val="00393676"/>
    <w:rsid w:val="00395295"/>
    <w:rsid w:val="003974D0"/>
    <w:rsid w:val="00397D03"/>
    <w:rsid w:val="003A4F2B"/>
    <w:rsid w:val="003A5A27"/>
    <w:rsid w:val="003A7C59"/>
    <w:rsid w:val="003B05DA"/>
    <w:rsid w:val="003B3345"/>
    <w:rsid w:val="003B35EE"/>
    <w:rsid w:val="003D47A3"/>
    <w:rsid w:val="003D4E84"/>
    <w:rsid w:val="003D5271"/>
    <w:rsid w:val="003E3EF7"/>
    <w:rsid w:val="003E67DD"/>
    <w:rsid w:val="003F2E0D"/>
    <w:rsid w:val="003F7762"/>
    <w:rsid w:val="0040556F"/>
    <w:rsid w:val="0042112D"/>
    <w:rsid w:val="004237DC"/>
    <w:rsid w:val="004272D4"/>
    <w:rsid w:val="00430FCB"/>
    <w:rsid w:val="004313F6"/>
    <w:rsid w:val="00433BBC"/>
    <w:rsid w:val="00433DFB"/>
    <w:rsid w:val="004445E3"/>
    <w:rsid w:val="00445028"/>
    <w:rsid w:val="0044553C"/>
    <w:rsid w:val="00446FD7"/>
    <w:rsid w:val="00457AB4"/>
    <w:rsid w:val="004607C3"/>
    <w:rsid w:val="00465631"/>
    <w:rsid w:val="00466ACE"/>
    <w:rsid w:val="0047155F"/>
    <w:rsid w:val="00475771"/>
    <w:rsid w:val="00477502"/>
    <w:rsid w:val="00480394"/>
    <w:rsid w:val="00480ED9"/>
    <w:rsid w:val="00486B91"/>
    <w:rsid w:val="004871C1"/>
    <w:rsid w:val="00487603"/>
    <w:rsid w:val="004913E7"/>
    <w:rsid w:val="0049203D"/>
    <w:rsid w:val="004A1F8C"/>
    <w:rsid w:val="004A3FCD"/>
    <w:rsid w:val="004A7E15"/>
    <w:rsid w:val="004B0D86"/>
    <w:rsid w:val="004B0FFB"/>
    <w:rsid w:val="004B12D4"/>
    <w:rsid w:val="004B44CC"/>
    <w:rsid w:val="004C0A7C"/>
    <w:rsid w:val="004D0BB8"/>
    <w:rsid w:val="004D1865"/>
    <w:rsid w:val="004D62B8"/>
    <w:rsid w:val="004E445C"/>
    <w:rsid w:val="004F3810"/>
    <w:rsid w:val="004F486A"/>
    <w:rsid w:val="004F6109"/>
    <w:rsid w:val="00501DF9"/>
    <w:rsid w:val="00511997"/>
    <w:rsid w:val="00514036"/>
    <w:rsid w:val="00542929"/>
    <w:rsid w:val="00546597"/>
    <w:rsid w:val="00554F1D"/>
    <w:rsid w:val="00561227"/>
    <w:rsid w:val="005625F0"/>
    <w:rsid w:val="0056378F"/>
    <w:rsid w:val="00566800"/>
    <w:rsid w:val="005670FD"/>
    <w:rsid w:val="00567817"/>
    <w:rsid w:val="00572565"/>
    <w:rsid w:val="00574133"/>
    <w:rsid w:val="005926FA"/>
    <w:rsid w:val="005948DD"/>
    <w:rsid w:val="00597D6B"/>
    <w:rsid w:val="005A1091"/>
    <w:rsid w:val="005A5996"/>
    <w:rsid w:val="005B28C6"/>
    <w:rsid w:val="005B511C"/>
    <w:rsid w:val="005B77AB"/>
    <w:rsid w:val="005D196E"/>
    <w:rsid w:val="005D20F1"/>
    <w:rsid w:val="005D6B3E"/>
    <w:rsid w:val="005D727A"/>
    <w:rsid w:val="005E59B0"/>
    <w:rsid w:val="006014C4"/>
    <w:rsid w:val="006017DD"/>
    <w:rsid w:val="00601A7A"/>
    <w:rsid w:val="006035C5"/>
    <w:rsid w:val="006041B9"/>
    <w:rsid w:val="00606200"/>
    <w:rsid w:val="00613CFB"/>
    <w:rsid w:val="00616E48"/>
    <w:rsid w:val="00617910"/>
    <w:rsid w:val="00633EAE"/>
    <w:rsid w:val="006345FD"/>
    <w:rsid w:val="00645539"/>
    <w:rsid w:val="00647307"/>
    <w:rsid w:val="0065039A"/>
    <w:rsid w:val="00651E5D"/>
    <w:rsid w:val="006531A3"/>
    <w:rsid w:val="0065487E"/>
    <w:rsid w:val="00657927"/>
    <w:rsid w:val="00665283"/>
    <w:rsid w:val="00670B87"/>
    <w:rsid w:val="006732B1"/>
    <w:rsid w:val="00675C2C"/>
    <w:rsid w:val="0067650D"/>
    <w:rsid w:val="006805D4"/>
    <w:rsid w:val="0068494F"/>
    <w:rsid w:val="00685CBC"/>
    <w:rsid w:val="00687720"/>
    <w:rsid w:val="00690330"/>
    <w:rsid w:val="00692161"/>
    <w:rsid w:val="00692EC5"/>
    <w:rsid w:val="006A3AE9"/>
    <w:rsid w:val="006B17E2"/>
    <w:rsid w:val="006B40FF"/>
    <w:rsid w:val="006C32C6"/>
    <w:rsid w:val="006C6605"/>
    <w:rsid w:val="006D18F8"/>
    <w:rsid w:val="006D5AD8"/>
    <w:rsid w:val="006D5F2C"/>
    <w:rsid w:val="006E0D3A"/>
    <w:rsid w:val="006E1783"/>
    <w:rsid w:val="006E27A2"/>
    <w:rsid w:val="006E3895"/>
    <w:rsid w:val="006E74B6"/>
    <w:rsid w:val="006E7E2F"/>
    <w:rsid w:val="006F5CA1"/>
    <w:rsid w:val="00703553"/>
    <w:rsid w:val="00703BAC"/>
    <w:rsid w:val="00706ECF"/>
    <w:rsid w:val="00711362"/>
    <w:rsid w:val="00711B01"/>
    <w:rsid w:val="00714338"/>
    <w:rsid w:val="00722657"/>
    <w:rsid w:val="00737454"/>
    <w:rsid w:val="00737633"/>
    <w:rsid w:val="00737E1F"/>
    <w:rsid w:val="00750B7B"/>
    <w:rsid w:val="007573E6"/>
    <w:rsid w:val="00766308"/>
    <w:rsid w:val="00770DCB"/>
    <w:rsid w:val="007762F6"/>
    <w:rsid w:val="00782382"/>
    <w:rsid w:val="00784472"/>
    <w:rsid w:val="00785DFB"/>
    <w:rsid w:val="00786AA3"/>
    <w:rsid w:val="007967DD"/>
    <w:rsid w:val="00797045"/>
    <w:rsid w:val="007973C7"/>
    <w:rsid w:val="007A0861"/>
    <w:rsid w:val="007A1B62"/>
    <w:rsid w:val="007A2874"/>
    <w:rsid w:val="007A5383"/>
    <w:rsid w:val="007A6CB5"/>
    <w:rsid w:val="007B1FA0"/>
    <w:rsid w:val="007B2956"/>
    <w:rsid w:val="007B2E51"/>
    <w:rsid w:val="007B4CE8"/>
    <w:rsid w:val="007B6DCE"/>
    <w:rsid w:val="007C404E"/>
    <w:rsid w:val="007D16CB"/>
    <w:rsid w:val="007E79A9"/>
    <w:rsid w:val="007F2D46"/>
    <w:rsid w:val="007F49E7"/>
    <w:rsid w:val="007F59E5"/>
    <w:rsid w:val="00800961"/>
    <w:rsid w:val="008038E2"/>
    <w:rsid w:val="00806409"/>
    <w:rsid w:val="0081164C"/>
    <w:rsid w:val="00834E39"/>
    <w:rsid w:val="00836016"/>
    <w:rsid w:val="0084302D"/>
    <w:rsid w:val="008454F9"/>
    <w:rsid w:val="008475A9"/>
    <w:rsid w:val="00861097"/>
    <w:rsid w:val="00865E1B"/>
    <w:rsid w:val="00873D10"/>
    <w:rsid w:val="008764EE"/>
    <w:rsid w:val="00881C24"/>
    <w:rsid w:val="008877D4"/>
    <w:rsid w:val="00895D51"/>
    <w:rsid w:val="008A165C"/>
    <w:rsid w:val="008A30A6"/>
    <w:rsid w:val="008A373A"/>
    <w:rsid w:val="008A5C7E"/>
    <w:rsid w:val="008A716E"/>
    <w:rsid w:val="008B661E"/>
    <w:rsid w:val="008C09EB"/>
    <w:rsid w:val="008D1A2D"/>
    <w:rsid w:val="008D2A72"/>
    <w:rsid w:val="008D5968"/>
    <w:rsid w:val="008E5F6E"/>
    <w:rsid w:val="008E686F"/>
    <w:rsid w:val="008F3502"/>
    <w:rsid w:val="008F5BF6"/>
    <w:rsid w:val="0090102C"/>
    <w:rsid w:val="00904694"/>
    <w:rsid w:val="00910C20"/>
    <w:rsid w:val="00913AC7"/>
    <w:rsid w:val="00915C4B"/>
    <w:rsid w:val="00921AEB"/>
    <w:rsid w:val="00923D59"/>
    <w:rsid w:val="009312AE"/>
    <w:rsid w:val="0093259E"/>
    <w:rsid w:val="0094169B"/>
    <w:rsid w:val="00942ABA"/>
    <w:rsid w:val="00950AF9"/>
    <w:rsid w:val="009521CE"/>
    <w:rsid w:val="00952287"/>
    <w:rsid w:val="00957948"/>
    <w:rsid w:val="00960B41"/>
    <w:rsid w:val="00971695"/>
    <w:rsid w:val="00971F39"/>
    <w:rsid w:val="00982EBD"/>
    <w:rsid w:val="0098430E"/>
    <w:rsid w:val="00992439"/>
    <w:rsid w:val="00993CB3"/>
    <w:rsid w:val="00994A55"/>
    <w:rsid w:val="009951A9"/>
    <w:rsid w:val="00995611"/>
    <w:rsid w:val="009A0A69"/>
    <w:rsid w:val="009A5D68"/>
    <w:rsid w:val="009A6235"/>
    <w:rsid w:val="009A7095"/>
    <w:rsid w:val="009B2A15"/>
    <w:rsid w:val="009C3EDC"/>
    <w:rsid w:val="009C4FEA"/>
    <w:rsid w:val="009D062C"/>
    <w:rsid w:val="009D1451"/>
    <w:rsid w:val="009D236F"/>
    <w:rsid w:val="009D62C7"/>
    <w:rsid w:val="009E34F5"/>
    <w:rsid w:val="009E52CE"/>
    <w:rsid w:val="009E7C17"/>
    <w:rsid w:val="009F6B16"/>
    <w:rsid w:val="00A00E04"/>
    <w:rsid w:val="00A01FD8"/>
    <w:rsid w:val="00A050A4"/>
    <w:rsid w:val="00A0555A"/>
    <w:rsid w:val="00A11D0B"/>
    <w:rsid w:val="00A136F9"/>
    <w:rsid w:val="00A159A7"/>
    <w:rsid w:val="00A169FE"/>
    <w:rsid w:val="00A23A13"/>
    <w:rsid w:val="00A23AC4"/>
    <w:rsid w:val="00A2589D"/>
    <w:rsid w:val="00A26411"/>
    <w:rsid w:val="00A27ED8"/>
    <w:rsid w:val="00A30BF9"/>
    <w:rsid w:val="00A321AE"/>
    <w:rsid w:val="00A361F7"/>
    <w:rsid w:val="00A50287"/>
    <w:rsid w:val="00A53C77"/>
    <w:rsid w:val="00A609D7"/>
    <w:rsid w:val="00A62D0B"/>
    <w:rsid w:val="00A72ADF"/>
    <w:rsid w:val="00A7446C"/>
    <w:rsid w:val="00A77F12"/>
    <w:rsid w:val="00A80ACE"/>
    <w:rsid w:val="00A80CF5"/>
    <w:rsid w:val="00A84B14"/>
    <w:rsid w:val="00A91003"/>
    <w:rsid w:val="00A91CA6"/>
    <w:rsid w:val="00A9321D"/>
    <w:rsid w:val="00AA577F"/>
    <w:rsid w:val="00AA788E"/>
    <w:rsid w:val="00AB0463"/>
    <w:rsid w:val="00AB1B90"/>
    <w:rsid w:val="00AB48F4"/>
    <w:rsid w:val="00AB6876"/>
    <w:rsid w:val="00AC3166"/>
    <w:rsid w:val="00AC3359"/>
    <w:rsid w:val="00AC3A58"/>
    <w:rsid w:val="00AD2928"/>
    <w:rsid w:val="00AD2EF2"/>
    <w:rsid w:val="00AE6350"/>
    <w:rsid w:val="00AF5830"/>
    <w:rsid w:val="00AF5B6B"/>
    <w:rsid w:val="00AF5DB7"/>
    <w:rsid w:val="00AF6158"/>
    <w:rsid w:val="00AF6ED7"/>
    <w:rsid w:val="00B13AA7"/>
    <w:rsid w:val="00B1516E"/>
    <w:rsid w:val="00B152C4"/>
    <w:rsid w:val="00B15576"/>
    <w:rsid w:val="00B43D99"/>
    <w:rsid w:val="00B451EB"/>
    <w:rsid w:val="00B467FC"/>
    <w:rsid w:val="00B502F2"/>
    <w:rsid w:val="00B5528C"/>
    <w:rsid w:val="00B640AE"/>
    <w:rsid w:val="00B64B55"/>
    <w:rsid w:val="00B70246"/>
    <w:rsid w:val="00B73CD7"/>
    <w:rsid w:val="00B80976"/>
    <w:rsid w:val="00B83CA6"/>
    <w:rsid w:val="00B93491"/>
    <w:rsid w:val="00B93E24"/>
    <w:rsid w:val="00B977EE"/>
    <w:rsid w:val="00BA52FA"/>
    <w:rsid w:val="00BA5C1C"/>
    <w:rsid w:val="00BA6DAF"/>
    <w:rsid w:val="00BB2A16"/>
    <w:rsid w:val="00BC0C4D"/>
    <w:rsid w:val="00BD127B"/>
    <w:rsid w:val="00BD2263"/>
    <w:rsid w:val="00BD5778"/>
    <w:rsid w:val="00BD6B0F"/>
    <w:rsid w:val="00BE1DA3"/>
    <w:rsid w:val="00BE2613"/>
    <w:rsid w:val="00BF0EEC"/>
    <w:rsid w:val="00BF52C7"/>
    <w:rsid w:val="00C00749"/>
    <w:rsid w:val="00C01593"/>
    <w:rsid w:val="00C05E2F"/>
    <w:rsid w:val="00C07988"/>
    <w:rsid w:val="00C124D9"/>
    <w:rsid w:val="00C15270"/>
    <w:rsid w:val="00C17EA2"/>
    <w:rsid w:val="00C27D83"/>
    <w:rsid w:val="00C27FEB"/>
    <w:rsid w:val="00C301C6"/>
    <w:rsid w:val="00C32781"/>
    <w:rsid w:val="00C374EE"/>
    <w:rsid w:val="00C42069"/>
    <w:rsid w:val="00C44BBE"/>
    <w:rsid w:val="00C450A2"/>
    <w:rsid w:val="00C45599"/>
    <w:rsid w:val="00C5026C"/>
    <w:rsid w:val="00C50D79"/>
    <w:rsid w:val="00C602F5"/>
    <w:rsid w:val="00C60DC8"/>
    <w:rsid w:val="00C64F06"/>
    <w:rsid w:val="00C65FBC"/>
    <w:rsid w:val="00C6743C"/>
    <w:rsid w:val="00C774D0"/>
    <w:rsid w:val="00C82A4A"/>
    <w:rsid w:val="00C84F04"/>
    <w:rsid w:val="00C86B31"/>
    <w:rsid w:val="00C91E19"/>
    <w:rsid w:val="00C94D05"/>
    <w:rsid w:val="00C96043"/>
    <w:rsid w:val="00CA2E0F"/>
    <w:rsid w:val="00CC150C"/>
    <w:rsid w:val="00CC4D81"/>
    <w:rsid w:val="00CE0277"/>
    <w:rsid w:val="00CE06D2"/>
    <w:rsid w:val="00CE15BD"/>
    <w:rsid w:val="00CE5E1E"/>
    <w:rsid w:val="00CF03B6"/>
    <w:rsid w:val="00CF72EC"/>
    <w:rsid w:val="00CF797A"/>
    <w:rsid w:val="00CF7A64"/>
    <w:rsid w:val="00D05149"/>
    <w:rsid w:val="00D11338"/>
    <w:rsid w:val="00D202DD"/>
    <w:rsid w:val="00D2395F"/>
    <w:rsid w:val="00D27C6B"/>
    <w:rsid w:val="00D407B3"/>
    <w:rsid w:val="00D421BB"/>
    <w:rsid w:val="00D431D8"/>
    <w:rsid w:val="00D437B7"/>
    <w:rsid w:val="00D45CBF"/>
    <w:rsid w:val="00D52538"/>
    <w:rsid w:val="00D53AB9"/>
    <w:rsid w:val="00D6592D"/>
    <w:rsid w:val="00D72C3B"/>
    <w:rsid w:val="00D84D1F"/>
    <w:rsid w:val="00D86CC0"/>
    <w:rsid w:val="00D91FB2"/>
    <w:rsid w:val="00DA02C9"/>
    <w:rsid w:val="00DA2A10"/>
    <w:rsid w:val="00DA4F90"/>
    <w:rsid w:val="00DA7513"/>
    <w:rsid w:val="00DB4A00"/>
    <w:rsid w:val="00DC0F88"/>
    <w:rsid w:val="00DC1EF1"/>
    <w:rsid w:val="00DC60D4"/>
    <w:rsid w:val="00DD2381"/>
    <w:rsid w:val="00DD6400"/>
    <w:rsid w:val="00DE28FB"/>
    <w:rsid w:val="00DE6621"/>
    <w:rsid w:val="00DE6632"/>
    <w:rsid w:val="00DF3684"/>
    <w:rsid w:val="00DF5800"/>
    <w:rsid w:val="00E133C3"/>
    <w:rsid w:val="00E1383E"/>
    <w:rsid w:val="00E15318"/>
    <w:rsid w:val="00E158D1"/>
    <w:rsid w:val="00E1686C"/>
    <w:rsid w:val="00E215C4"/>
    <w:rsid w:val="00E22C70"/>
    <w:rsid w:val="00E25D0E"/>
    <w:rsid w:val="00E273C4"/>
    <w:rsid w:val="00E426ED"/>
    <w:rsid w:val="00E42731"/>
    <w:rsid w:val="00E433BA"/>
    <w:rsid w:val="00E44836"/>
    <w:rsid w:val="00E44A17"/>
    <w:rsid w:val="00E640A8"/>
    <w:rsid w:val="00E70564"/>
    <w:rsid w:val="00E77CD1"/>
    <w:rsid w:val="00E802EE"/>
    <w:rsid w:val="00E84177"/>
    <w:rsid w:val="00E84E86"/>
    <w:rsid w:val="00E927CC"/>
    <w:rsid w:val="00EA0CFC"/>
    <w:rsid w:val="00EA0F6D"/>
    <w:rsid w:val="00EC238D"/>
    <w:rsid w:val="00EC3AEA"/>
    <w:rsid w:val="00EC51A0"/>
    <w:rsid w:val="00EC59E1"/>
    <w:rsid w:val="00EC60F4"/>
    <w:rsid w:val="00ED4BB8"/>
    <w:rsid w:val="00ED5664"/>
    <w:rsid w:val="00ED61F5"/>
    <w:rsid w:val="00EF42E6"/>
    <w:rsid w:val="00EF4591"/>
    <w:rsid w:val="00F1151A"/>
    <w:rsid w:val="00F143FF"/>
    <w:rsid w:val="00F173B2"/>
    <w:rsid w:val="00F17F2A"/>
    <w:rsid w:val="00F20615"/>
    <w:rsid w:val="00F2238C"/>
    <w:rsid w:val="00F3139D"/>
    <w:rsid w:val="00F338B7"/>
    <w:rsid w:val="00F35A49"/>
    <w:rsid w:val="00F45EED"/>
    <w:rsid w:val="00F517AE"/>
    <w:rsid w:val="00F56022"/>
    <w:rsid w:val="00F6288A"/>
    <w:rsid w:val="00F62AF3"/>
    <w:rsid w:val="00F65419"/>
    <w:rsid w:val="00F66BB3"/>
    <w:rsid w:val="00F803D4"/>
    <w:rsid w:val="00F916AF"/>
    <w:rsid w:val="00F96648"/>
    <w:rsid w:val="00FA240A"/>
    <w:rsid w:val="00FA477A"/>
    <w:rsid w:val="00FB6E31"/>
    <w:rsid w:val="00FC184A"/>
    <w:rsid w:val="00FC2EED"/>
    <w:rsid w:val="00FD02C3"/>
    <w:rsid w:val="00FD2C4C"/>
    <w:rsid w:val="00FD6B32"/>
    <w:rsid w:val="00FE5131"/>
    <w:rsid w:val="00FE5ABD"/>
    <w:rsid w:val="00FE5F0A"/>
    <w:rsid w:val="00FE742E"/>
    <w:rsid w:val="00FF345F"/>
    <w:rsid w:val="00FF5AAE"/>
    <w:rsid w:val="00FF7BD1"/>
    <w:rsid w:val="00FF7BEB"/>
    <w:rsid w:val="01325FE6"/>
    <w:rsid w:val="018A0E13"/>
    <w:rsid w:val="018A58CB"/>
    <w:rsid w:val="01F11ABC"/>
    <w:rsid w:val="025F48FF"/>
    <w:rsid w:val="026B3287"/>
    <w:rsid w:val="02CF14AA"/>
    <w:rsid w:val="0306625F"/>
    <w:rsid w:val="03693F2E"/>
    <w:rsid w:val="037A56F8"/>
    <w:rsid w:val="03C64D74"/>
    <w:rsid w:val="03C73C40"/>
    <w:rsid w:val="0461636B"/>
    <w:rsid w:val="04BE2ED4"/>
    <w:rsid w:val="04CD030F"/>
    <w:rsid w:val="05055969"/>
    <w:rsid w:val="05171657"/>
    <w:rsid w:val="054D2B43"/>
    <w:rsid w:val="05743230"/>
    <w:rsid w:val="05D000DC"/>
    <w:rsid w:val="06254030"/>
    <w:rsid w:val="06451A56"/>
    <w:rsid w:val="06963DDF"/>
    <w:rsid w:val="06D0743C"/>
    <w:rsid w:val="094139BD"/>
    <w:rsid w:val="09764BF0"/>
    <w:rsid w:val="0984657C"/>
    <w:rsid w:val="0A025FF9"/>
    <w:rsid w:val="0A384B69"/>
    <w:rsid w:val="0ADA0B8C"/>
    <w:rsid w:val="0BAB60B5"/>
    <w:rsid w:val="0C301D6B"/>
    <w:rsid w:val="0CAA7322"/>
    <w:rsid w:val="0D274BB9"/>
    <w:rsid w:val="0D6938A2"/>
    <w:rsid w:val="0D7865A5"/>
    <w:rsid w:val="0DA63A05"/>
    <w:rsid w:val="0DC83A75"/>
    <w:rsid w:val="0DDC788B"/>
    <w:rsid w:val="0E1B4E76"/>
    <w:rsid w:val="0E892E1D"/>
    <w:rsid w:val="0EBB3639"/>
    <w:rsid w:val="0F84587A"/>
    <w:rsid w:val="0FD101F3"/>
    <w:rsid w:val="0FEE1F88"/>
    <w:rsid w:val="100D7863"/>
    <w:rsid w:val="10BB2E7F"/>
    <w:rsid w:val="115C2A08"/>
    <w:rsid w:val="13B74DE6"/>
    <w:rsid w:val="13E10270"/>
    <w:rsid w:val="13F218D0"/>
    <w:rsid w:val="14191607"/>
    <w:rsid w:val="143602DA"/>
    <w:rsid w:val="14720225"/>
    <w:rsid w:val="14D902A4"/>
    <w:rsid w:val="151E3433"/>
    <w:rsid w:val="15461BD9"/>
    <w:rsid w:val="1552298B"/>
    <w:rsid w:val="1595150C"/>
    <w:rsid w:val="15B029A2"/>
    <w:rsid w:val="166938A9"/>
    <w:rsid w:val="16815279"/>
    <w:rsid w:val="16FF4318"/>
    <w:rsid w:val="16FF4530"/>
    <w:rsid w:val="170F24F1"/>
    <w:rsid w:val="179F6362"/>
    <w:rsid w:val="18031E1F"/>
    <w:rsid w:val="187334AB"/>
    <w:rsid w:val="19296639"/>
    <w:rsid w:val="1A424E7F"/>
    <w:rsid w:val="1AAA39D4"/>
    <w:rsid w:val="1ABB4669"/>
    <w:rsid w:val="1B1F438E"/>
    <w:rsid w:val="1B505DB9"/>
    <w:rsid w:val="1BD35136"/>
    <w:rsid w:val="1BF4566B"/>
    <w:rsid w:val="1C93646E"/>
    <w:rsid w:val="1CF76192"/>
    <w:rsid w:val="1D3D2FFA"/>
    <w:rsid w:val="1DC064A5"/>
    <w:rsid w:val="1E456FF9"/>
    <w:rsid w:val="1E7246A5"/>
    <w:rsid w:val="1EE559BD"/>
    <w:rsid w:val="1F3025BA"/>
    <w:rsid w:val="1F872FC8"/>
    <w:rsid w:val="20CF582B"/>
    <w:rsid w:val="20EB001C"/>
    <w:rsid w:val="20EC4DFB"/>
    <w:rsid w:val="21962D28"/>
    <w:rsid w:val="219630B6"/>
    <w:rsid w:val="21D526D3"/>
    <w:rsid w:val="22392531"/>
    <w:rsid w:val="22F4099F"/>
    <w:rsid w:val="23384591"/>
    <w:rsid w:val="24AB32DF"/>
    <w:rsid w:val="256E58F7"/>
    <w:rsid w:val="25AF1BE4"/>
    <w:rsid w:val="25DB4AFE"/>
    <w:rsid w:val="26130D8E"/>
    <w:rsid w:val="26316F66"/>
    <w:rsid w:val="266D329C"/>
    <w:rsid w:val="26A76454"/>
    <w:rsid w:val="275639D6"/>
    <w:rsid w:val="2774563A"/>
    <w:rsid w:val="2907735C"/>
    <w:rsid w:val="293456C1"/>
    <w:rsid w:val="29AC1FD3"/>
    <w:rsid w:val="2A8C4F5A"/>
    <w:rsid w:val="2B426863"/>
    <w:rsid w:val="2D18338A"/>
    <w:rsid w:val="2D636E4D"/>
    <w:rsid w:val="2DA835D6"/>
    <w:rsid w:val="2E382BFF"/>
    <w:rsid w:val="2E7F19D7"/>
    <w:rsid w:val="2EE35A04"/>
    <w:rsid w:val="2EFA558F"/>
    <w:rsid w:val="2F35161A"/>
    <w:rsid w:val="2FA8493D"/>
    <w:rsid w:val="3075518C"/>
    <w:rsid w:val="30E965CE"/>
    <w:rsid w:val="31406FDD"/>
    <w:rsid w:val="31740D19"/>
    <w:rsid w:val="32233775"/>
    <w:rsid w:val="32285C55"/>
    <w:rsid w:val="32296F5A"/>
    <w:rsid w:val="32851613"/>
    <w:rsid w:val="32A974A8"/>
    <w:rsid w:val="32EA1597"/>
    <w:rsid w:val="3312199A"/>
    <w:rsid w:val="33BB2EB6"/>
    <w:rsid w:val="34215AAD"/>
    <w:rsid w:val="34945D4F"/>
    <w:rsid w:val="34CE0A97"/>
    <w:rsid w:val="34EA68FC"/>
    <w:rsid w:val="35400790"/>
    <w:rsid w:val="358F3326"/>
    <w:rsid w:val="359F2D89"/>
    <w:rsid w:val="36460F99"/>
    <w:rsid w:val="36595A3B"/>
    <w:rsid w:val="36AC62D8"/>
    <w:rsid w:val="37872E74"/>
    <w:rsid w:val="381419DC"/>
    <w:rsid w:val="381F1A74"/>
    <w:rsid w:val="39FA48AC"/>
    <w:rsid w:val="3A9474A1"/>
    <w:rsid w:val="3AFE0C57"/>
    <w:rsid w:val="3B4F6126"/>
    <w:rsid w:val="3B6049CB"/>
    <w:rsid w:val="3C340CD4"/>
    <w:rsid w:val="3C3976F6"/>
    <w:rsid w:val="3C7A0535"/>
    <w:rsid w:val="3C8E2667"/>
    <w:rsid w:val="3CC81E82"/>
    <w:rsid w:val="3D027E9D"/>
    <w:rsid w:val="3D1F277A"/>
    <w:rsid w:val="3D940346"/>
    <w:rsid w:val="3DD16176"/>
    <w:rsid w:val="3E855DC8"/>
    <w:rsid w:val="3ECC1E3C"/>
    <w:rsid w:val="3F407652"/>
    <w:rsid w:val="3F864FC5"/>
    <w:rsid w:val="3FE93AB0"/>
    <w:rsid w:val="400865EF"/>
    <w:rsid w:val="400C2735"/>
    <w:rsid w:val="40D06401"/>
    <w:rsid w:val="40DB4E75"/>
    <w:rsid w:val="411F2BCC"/>
    <w:rsid w:val="41697F5C"/>
    <w:rsid w:val="41AC17E0"/>
    <w:rsid w:val="41E50BAA"/>
    <w:rsid w:val="42030C49"/>
    <w:rsid w:val="42681DFC"/>
    <w:rsid w:val="429C4727"/>
    <w:rsid w:val="43615785"/>
    <w:rsid w:val="43BA679E"/>
    <w:rsid w:val="44092E2E"/>
    <w:rsid w:val="44562E10"/>
    <w:rsid w:val="4463567E"/>
    <w:rsid w:val="44EB6041"/>
    <w:rsid w:val="45092283"/>
    <w:rsid w:val="46061790"/>
    <w:rsid w:val="46252AC1"/>
    <w:rsid w:val="46A61E2C"/>
    <w:rsid w:val="46F00934"/>
    <w:rsid w:val="47087F18"/>
    <w:rsid w:val="47993F84"/>
    <w:rsid w:val="47A30116"/>
    <w:rsid w:val="47C42C03"/>
    <w:rsid w:val="482029D7"/>
    <w:rsid w:val="48410F19"/>
    <w:rsid w:val="489973AA"/>
    <w:rsid w:val="4AA96E37"/>
    <w:rsid w:val="4B8E52B1"/>
    <w:rsid w:val="4BD40DF5"/>
    <w:rsid w:val="4C7A0E3B"/>
    <w:rsid w:val="4CF856D5"/>
    <w:rsid w:val="4D094EC3"/>
    <w:rsid w:val="4D541AEE"/>
    <w:rsid w:val="4D547FED"/>
    <w:rsid w:val="4D7F46B4"/>
    <w:rsid w:val="4E393586"/>
    <w:rsid w:val="4E41138F"/>
    <w:rsid w:val="4E82266A"/>
    <w:rsid w:val="4EC54E1A"/>
    <w:rsid w:val="4EDB212D"/>
    <w:rsid w:val="4F8151E4"/>
    <w:rsid w:val="4FEE557C"/>
    <w:rsid w:val="4FF33DB8"/>
    <w:rsid w:val="505A3B3A"/>
    <w:rsid w:val="50DD75B9"/>
    <w:rsid w:val="50F47C38"/>
    <w:rsid w:val="51087569"/>
    <w:rsid w:val="51120C8D"/>
    <w:rsid w:val="51563A00"/>
    <w:rsid w:val="517A4EB9"/>
    <w:rsid w:val="519809A2"/>
    <w:rsid w:val="52586AA6"/>
    <w:rsid w:val="52DC0ED1"/>
    <w:rsid w:val="536C1D08"/>
    <w:rsid w:val="53AF716D"/>
    <w:rsid w:val="53CA3594"/>
    <w:rsid w:val="54E57124"/>
    <w:rsid w:val="55466588"/>
    <w:rsid w:val="55E204BC"/>
    <w:rsid w:val="562F5220"/>
    <w:rsid w:val="56561764"/>
    <w:rsid w:val="56B247E4"/>
    <w:rsid w:val="56F92846"/>
    <w:rsid w:val="5712706A"/>
    <w:rsid w:val="5725086A"/>
    <w:rsid w:val="5735569F"/>
    <w:rsid w:val="576B17B6"/>
    <w:rsid w:val="576F4E72"/>
    <w:rsid w:val="578215FD"/>
    <w:rsid w:val="585844FD"/>
    <w:rsid w:val="586B76C2"/>
    <w:rsid w:val="58E173CD"/>
    <w:rsid w:val="5966741E"/>
    <w:rsid w:val="599154FE"/>
    <w:rsid w:val="5AF52627"/>
    <w:rsid w:val="5BED775E"/>
    <w:rsid w:val="5C3C41E3"/>
    <w:rsid w:val="5C865BC7"/>
    <w:rsid w:val="5CE57268"/>
    <w:rsid w:val="5D8C1586"/>
    <w:rsid w:val="5D8F1753"/>
    <w:rsid w:val="5DA65EFA"/>
    <w:rsid w:val="5DF272AD"/>
    <w:rsid w:val="5F016DFC"/>
    <w:rsid w:val="5F376BBC"/>
    <w:rsid w:val="5F9304D9"/>
    <w:rsid w:val="608060E1"/>
    <w:rsid w:val="624C6651"/>
    <w:rsid w:val="62CD6B44"/>
    <w:rsid w:val="631611C1"/>
    <w:rsid w:val="63174149"/>
    <w:rsid w:val="6396536F"/>
    <w:rsid w:val="63C21EE1"/>
    <w:rsid w:val="648065F1"/>
    <w:rsid w:val="64D7381D"/>
    <w:rsid w:val="65085009"/>
    <w:rsid w:val="654D24C2"/>
    <w:rsid w:val="6573320B"/>
    <w:rsid w:val="657B5DDA"/>
    <w:rsid w:val="65A65279"/>
    <w:rsid w:val="67482AED"/>
    <w:rsid w:val="67E544F9"/>
    <w:rsid w:val="683A638D"/>
    <w:rsid w:val="687675E4"/>
    <w:rsid w:val="688E42B7"/>
    <w:rsid w:val="68A67F62"/>
    <w:rsid w:val="68B84664"/>
    <w:rsid w:val="68BD6AD3"/>
    <w:rsid w:val="68DF491C"/>
    <w:rsid w:val="69382AD6"/>
    <w:rsid w:val="69CD77BD"/>
    <w:rsid w:val="69E25200"/>
    <w:rsid w:val="69E92EFD"/>
    <w:rsid w:val="6A095303"/>
    <w:rsid w:val="6A911D64"/>
    <w:rsid w:val="6AE01EC6"/>
    <w:rsid w:val="6AE67270"/>
    <w:rsid w:val="6B4A5721"/>
    <w:rsid w:val="6BF343C7"/>
    <w:rsid w:val="6D2F41F3"/>
    <w:rsid w:val="6DD67943"/>
    <w:rsid w:val="6E3D5571"/>
    <w:rsid w:val="6E732CC4"/>
    <w:rsid w:val="6E8E2194"/>
    <w:rsid w:val="6EAC66B8"/>
    <w:rsid w:val="6F00762E"/>
    <w:rsid w:val="6F1C3F1A"/>
    <w:rsid w:val="6F3C2C1C"/>
    <w:rsid w:val="6F4656AB"/>
    <w:rsid w:val="6F7A21F2"/>
    <w:rsid w:val="6F96629E"/>
    <w:rsid w:val="6FA71DBC"/>
    <w:rsid w:val="6FAB4007"/>
    <w:rsid w:val="701D640C"/>
    <w:rsid w:val="70313C65"/>
    <w:rsid w:val="70424E0E"/>
    <w:rsid w:val="716A417E"/>
    <w:rsid w:val="725A4828"/>
    <w:rsid w:val="7297468D"/>
    <w:rsid w:val="72C77433"/>
    <w:rsid w:val="73280AA9"/>
    <w:rsid w:val="741E6CC4"/>
    <w:rsid w:val="74245119"/>
    <w:rsid w:val="742F33E1"/>
    <w:rsid w:val="748C3843"/>
    <w:rsid w:val="759077D0"/>
    <w:rsid w:val="759D6F04"/>
    <w:rsid w:val="765D4390"/>
    <w:rsid w:val="76C53533"/>
    <w:rsid w:val="76FE4FA3"/>
    <w:rsid w:val="771B39E5"/>
    <w:rsid w:val="777D6AC4"/>
    <w:rsid w:val="779C50F7"/>
    <w:rsid w:val="78BE1FA4"/>
    <w:rsid w:val="78FA4568"/>
    <w:rsid w:val="795D662A"/>
    <w:rsid w:val="79645362"/>
    <w:rsid w:val="79845312"/>
    <w:rsid w:val="79897FE5"/>
    <w:rsid w:val="799C1155"/>
    <w:rsid w:val="79A4470B"/>
    <w:rsid w:val="79C505D8"/>
    <w:rsid w:val="7A2B7F7C"/>
    <w:rsid w:val="7A6648DE"/>
    <w:rsid w:val="7A9F24BA"/>
    <w:rsid w:val="7ABA0AE5"/>
    <w:rsid w:val="7AD54B92"/>
    <w:rsid w:val="7B8051E5"/>
    <w:rsid w:val="7C1C208B"/>
    <w:rsid w:val="7C2B0D09"/>
    <w:rsid w:val="7C854FCE"/>
    <w:rsid w:val="7C8A45E3"/>
    <w:rsid w:val="7CC321BF"/>
    <w:rsid w:val="7CC7169E"/>
    <w:rsid w:val="7DFC1166"/>
    <w:rsid w:val="7E89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basedOn w:val="1"/>
    <w:next w:val="1"/>
    <w:qFormat/>
    <w:uiPriority w:val="0"/>
    <w:pPr>
      <w:keepNext/>
      <w:numPr>
        <w:ilvl w:val="0"/>
        <w:numId w:val="1"/>
      </w:numPr>
      <w:pBdr>
        <w:top w:val="single" w:color="auto" w:sz="12" w:space="1"/>
      </w:pBdr>
      <w:spacing w:before="240"/>
      <w:outlineLvl w:val="0"/>
    </w:pPr>
    <w:rPr>
      <w:rFonts w:ascii="Arial" w:hAnsi="Arial"/>
      <w:sz w:val="28"/>
    </w:rPr>
  </w:style>
  <w:style w:type="paragraph" w:styleId="5">
    <w:name w:val="heading 2"/>
    <w:basedOn w:val="4"/>
    <w:next w:val="1"/>
    <w:qFormat/>
    <w:uiPriority w:val="0"/>
    <w:pPr>
      <w:numPr>
        <w:ilvl w:val="1"/>
      </w:numPr>
      <w:spacing w:before="180"/>
      <w:outlineLvl w:val="1"/>
    </w:pPr>
    <w:rPr>
      <w:sz w:val="24"/>
    </w:rPr>
  </w:style>
  <w:style w:type="paragraph" w:styleId="6">
    <w:name w:val="heading 3"/>
    <w:basedOn w:val="5"/>
    <w:next w:val="1"/>
    <w:qFormat/>
    <w:uiPriority w:val="0"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7">
    <w:name w:val="heading 4"/>
    <w:basedOn w:val="6"/>
    <w:next w:val="1"/>
    <w:qFormat/>
    <w:uiPriority w:val="0"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8">
    <w:name w:val="heading 5"/>
    <w:basedOn w:val="1"/>
    <w:next w:val="1"/>
    <w:qFormat/>
    <w:uiPriority w:val="0"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9">
    <w:name w:val="heading 6"/>
    <w:basedOn w:val="1"/>
    <w:next w:val="1"/>
    <w:qFormat/>
    <w:uiPriority w:val="0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10">
    <w:name w:val="heading 7"/>
    <w:basedOn w:val="1"/>
    <w:next w:val="1"/>
    <w:qFormat/>
    <w:uiPriority w:val="0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11">
    <w:name w:val="heading 8"/>
    <w:basedOn w:val="1"/>
    <w:next w:val="1"/>
    <w:qFormat/>
    <w:uiPriority w:val="0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12">
    <w:name w:val="heading 9"/>
    <w:basedOn w:val="1"/>
    <w:next w:val="1"/>
    <w:qFormat/>
    <w:uiPriority w:val="0"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cs="Arial"/>
      <w:color w:val="FF0000"/>
    </w:rPr>
  </w:style>
  <w:style w:type="paragraph" w:styleId="3">
    <w:name w:val="Title"/>
    <w:basedOn w:val="1"/>
    <w:next w:val="1"/>
    <w:qFormat/>
    <w:uiPriority w:val="0"/>
    <w:pPr>
      <w:spacing w:before="120"/>
      <w:jc w:val="center"/>
      <w:outlineLvl w:val="0"/>
    </w:pPr>
    <w:rPr>
      <w:b/>
      <w:sz w:val="32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annotation text"/>
    <w:basedOn w:val="1"/>
    <w:link w:val="5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Balloon Text"/>
    <w:basedOn w:val="1"/>
    <w:link w:val="34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7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9">
    <w:name w:val="List Number 5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eastAsiaTheme="minorEastAsia"/>
    </w:rPr>
  </w:style>
  <w:style w:type="paragraph" w:styleId="20">
    <w:name w:val="List"/>
    <w:basedOn w:val="1"/>
    <w:qFormat/>
    <w:uiPriority w:val="0"/>
    <w:pPr>
      <w:ind w:left="568" w:hanging="284"/>
    </w:pPr>
  </w:style>
  <w:style w:type="paragraph" w:styleId="21">
    <w:name w:val="Normal (Web)"/>
    <w:basedOn w:val="1"/>
    <w:semiHidden/>
    <w:unhideWhenUsed/>
    <w:qFormat/>
    <w:uiPriority w:val="99"/>
    <w:pPr>
      <w:spacing w:beforeAutospacing="1" w:after="0" w:afterAutospacing="1"/>
      <w:jc w:val="left"/>
    </w:pPr>
    <w:rPr>
      <w:sz w:val="24"/>
      <w:lang w:val="en-US" w:eastAsia="zh-CN"/>
    </w:rPr>
  </w:style>
  <w:style w:type="paragraph" w:styleId="22">
    <w:name w:val="annotation subject"/>
    <w:basedOn w:val="14"/>
    <w:next w:val="14"/>
    <w:link w:val="54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24">
    <w:name w:val="Table Grid"/>
    <w:basedOn w:val="2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page number"/>
    <w:basedOn w:val="25"/>
    <w:semiHidden/>
    <w:qFormat/>
    <w:uiPriority w:val="0"/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semiHidden/>
    <w:qFormat/>
    <w:uiPriority w:val="0"/>
    <w:rPr>
      <w:sz w:val="16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3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character" w:customStyle="1" w:styleId="34">
    <w:name w:val="批注框文本 字符"/>
    <w:link w:val="16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styleId="35">
    <w:name w:val="List Paragraph"/>
    <w:basedOn w:val="1"/>
    <w:link w:val="59"/>
    <w:qFormat/>
    <w:uiPriority w:val="34"/>
    <w:pPr>
      <w:ind w:left="720"/>
    </w:pPr>
  </w:style>
  <w:style w:type="character" w:customStyle="1" w:styleId="36">
    <w:name w:val="不明显参考1"/>
    <w:qFormat/>
    <w:uiPriority w:val="31"/>
    <w:rPr>
      <w:smallCaps/>
      <w:color w:val="5A5A5A"/>
    </w:rPr>
  </w:style>
  <w:style w:type="paragraph" w:customStyle="1" w:styleId="37">
    <w:name w:val="References"/>
    <w:basedOn w:val="1"/>
    <w:link w:val="38"/>
    <w:qFormat/>
    <w:uiPriority w:val="0"/>
    <w:pPr>
      <w:numPr>
        <w:ilvl w:val="0"/>
        <w:numId w:val="7"/>
      </w:numPr>
      <w:spacing w:after="60"/>
      <w:ind w:left="357" w:hanging="357"/>
    </w:pPr>
  </w:style>
  <w:style w:type="character" w:customStyle="1" w:styleId="38">
    <w:name w:val="References 字符"/>
    <w:link w:val="37"/>
    <w:qFormat/>
    <w:uiPriority w:val="0"/>
    <w:rPr>
      <w:lang w:val="en-GB" w:eastAsia="en-US"/>
    </w:rPr>
  </w:style>
  <w:style w:type="paragraph" w:styleId="39">
    <w:name w:val="Quote"/>
    <w:basedOn w:val="1"/>
    <w:next w:val="1"/>
    <w:link w:val="40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40">
    <w:name w:val="引用 字符"/>
    <w:link w:val="39"/>
    <w:qFormat/>
    <w:uiPriority w:val="29"/>
    <w:rPr>
      <w:i/>
      <w:iCs/>
      <w:color w:val="404040"/>
      <w:lang w:val="en-GB" w:eastAsia="en-US"/>
    </w:rPr>
  </w:style>
  <w:style w:type="character" w:customStyle="1" w:styleId="41">
    <w:name w:val="书籍标题1"/>
    <w:qFormat/>
    <w:uiPriority w:val="33"/>
    <w:rPr>
      <w:b/>
      <w:bCs/>
      <w:i/>
      <w:iCs/>
      <w:spacing w:val="5"/>
    </w:rPr>
  </w:style>
  <w:style w:type="paragraph" w:styleId="4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43">
    <w:name w:val="B1"/>
    <w:basedOn w:val="20"/>
    <w:link w:val="45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paragraph" w:customStyle="1" w:styleId="44">
    <w:name w:val="B2"/>
    <w:basedOn w:val="15"/>
    <w:link w:val="46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45">
    <w:name w:val="B1 Char1"/>
    <w:link w:val="43"/>
    <w:qFormat/>
    <w:uiPriority w:val="0"/>
    <w:rPr>
      <w:lang w:val="en-GB" w:eastAsia="en-GB"/>
    </w:rPr>
  </w:style>
  <w:style w:type="character" w:customStyle="1" w:styleId="46">
    <w:name w:val="B2 Char"/>
    <w:link w:val="44"/>
    <w:qFormat/>
    <w:uiPriority w:val="0"/>
    <w:rPr>
      <w:lang w:val="en-GB" w:eastAsia="en-GB"/>
    </w:rPr>
  </w:style>
  <w:style w:type="paragraph" w:customStyle="1" w:styleId="47">
    <w:name w:val="item"/>
    <w:basedOn w:val="1"/>
    <w:qFormat/>
    <w:uiPriority w:val="0"/>
    <w:pPr>
      <w:numPr>
        <w:ilvl w:val="0"/>
        <w:numId w:val="8"/>
      </w:numPr>
      <w:tabs>
        <w:tab w:val="clear" w:pos="360"/>
      </w:tabs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eastAsia="MS Mincho"/>
      <w:lang w:eastAsia="en-GB"/>
    </w:rPr>
  </w:style>
  <w:style w:type="paragraph" w:customStyle="1" w:styleId="48">
    <w:name w:val="List Paragraph1"/>
    <w:basedOn w:val="1"/>
    <w:link w:val="52"/>
    <w:qFormat/>
    <w:uiPriority w:val="0"/>
    <w:pPr>
      <w:spacing w:after="0"/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49">
    <w:name w:val="B3"/>
    <w:basedOn w:val="13"/>
    <w:link w:val="50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  <w:lang w:eastAsia="en-GB"/>
    </w:rPr>
  </w:style>
  <w:style w:type="character" w:customStyle="1" w:styleId="50">
    <w:name w:val="B3 Char"/>
    <w:basedOn w:val="25"/>
    <w:link w:val="49"/>
    <w:qFormat/>
    <w:uiPriority w:val="0"/>
    <w:rPr>
      <w:lang w:val="en-GB" w:eastAsia="en-GB"/>
    </w:rPr>
  </w:style>
  <w:style w:type="paragraph" w:customStyle="1" w:styleId="51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Theme="minorEastAsia"/>
      <w:lang w:eastAsia="en-GB"/>
    </w:rPr>
  </w:style>
  <w:style w:type="character" w:customStyle="1" w:styleId="52">
    <w:name w:val="リスト段落 (文字)"/>
    <w:link w:val="48"/>
    <w:qFormat/>
    <w:uiPriority w:val="34"/>
    <w:rPr>
      <w:rFonts w:eastAsia="Times New Roman"/>
      <w:sz w:val="24"/>
      <w:szCs w:val="24"/>
    </w:rPr>
  </w:style>
  <w:style w:type="character" w:customStyle="1" w:styleId="53">
    <w:name w:val="批注文字 字符"/>
    <w:basedOn w:val="25"/>
    <w:link w:val="14"/>
    <w:semiHidden/>
    <w:qFormat/>
    <w:uiPriority w:val="0"/>
    <w:rPr>
      <w:rFonts w:ascii="Arial" w:hAnsi="Arial" w:eastAsia="宋体"/>
      <w:lang w:val="en-GB" w:eastAsia="en-US"/>
    </w:rPr>
  </w:style>
  <w:style w:type="character" w:customStyle="1" w:styleId="54">
    <w:name w:val="批注主题 字符"/>
    <w:basedOn w:val="53"/>
    <w:link w:val="22"/>
    <w:semiHidden/>
    <w:qFormat/>
    <w:uiPriority w:val="99"/>
    <w:rPr>
      <w:rFonts w:ascii="Arial" w:hAnsi="Arial" w:eastAsia="宋体"/>
      <w:b/>
      <w:bCs/>
      <w:lang w:val="en-GB" w:eastAsia="en-US"/>
    </w:rPr>
  </w:style>
  <w:style w:type="character" w:customStyle="1" w:styleId="55">
    <w:name w:val="B1 Zchn"/>
    <w:qFormat/>
    <w:uiPriority w:val="0"/>
    <w:rPr>
      <w:lang w:eastAsia="en-US"/>
    </w:rPr>
  </w:style>
  <w:style w:type="paragraph" w:customStyle="1" w:styleId="56">
    <w:name w:val="enumlev2"/>
    <w:basedOn w:val="1"/>
    <w:qFormat/>
    <w:uiPriority w:val="0"/>
    <w:pPr>
      <w:numPr>
        <w:ilvl w:val="0"/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val="en-US" w:eastAsia="en-GB"/>
    </w:rPr>
  </w:style>
  <w:style w:type="paragraph" w:customStyle="1" w:styleId="57">
    <w:name w:val="text intend 1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zh-CN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列表段落 字符"/>
    <w:link w:val="35"/>
    <w:qFormat/>
    <w:uiPriority w:val="34"/>
    <w:rPr>
      <w:rFonts w:eastAsia="宋体"/>
      <w:lang w:val="en-GB" w:eastAsia="en-US"/>
    </w:rPr>
  </w:style>
  <w:style w:type="paragraph" w:customStyle="1" w:styleId="60">
    <w:name w:val="List Paragraph2"/>
    <w:basedOn w:val="1"/>
    <w:qFormat/>
    <w:uiPriority w:val="0"/>
    <w:pPr>
      <w:spacing w:before="100" w:beforeAutospacing="1" w:after="100" w:afterAutospacing="1"/>
      <w:ind w:left="840" w:leftChars="400"/>
      <w:jc w:val="left"/>
    </w:pPr>
    <w:rPr>
      <w:rFonts w:eastAsia="MS Gothic"/>
      <w:sz w:val="24"/>
      <w:szCs w:val="24"/>
      <w:lang w:val="en-US" w:eastAsia="zh-CN"/>
    </w:rPr>
  </w:style>
  <w:style w:type="paragraph" w:customStyle="1" w:styleId="61">
    <w:name w:val="B4"/>
    <w:basedOn w:val="1"/>
    <w:link w:val="68"/>
    <w:qFormat/>
    <w:uiPriority w:val="0"/>
    <w:pPr>
      <w:ind w:left="1418" w:hanging="284"/>
      <w:jc w:val="left"/>
    </w:pPr>
  </w:style>
  <w:style w:type="paragraph" w:customStyle="1" w:styleId="62">
    <w:name w:val="B5"/>
    <w:basedOn w:val="1"/>
    <w:link w:val="69"/>
    <w:qFormat/>
    <w:uiPriority w:val="0"/>
    <w:pPr>
      <w:ind w:left="1702" w:hanging="284"/>
      <w:jc w:val="left"/>
    </w:pPr>
  </w:style>
  <w:style w:type="paragraph" w:customStyle="1" w:styleId="63">
    <w:name w:val="bullet1"/>
    <w:basedOn w:val="1"/>
    <w:qFormat/>
    <w:uiPriority w:val="0"/>
    <w:pPr>
      <w:numPr>
        <w:ilvl w:val="0"/>
        <w:numId w:val="11"/>
      </w:numPr>
      <w:spacing w:after="0"/>
      <w:jc w:val="left"/>
    </w:pPr>
    <w:rPr>
      <w:rFonts w:ascii="Calibri" w:hAnsi="Calibri"/>
      <w:kern w:val="2"/>
      <w:sz w:val="24"/>
      <w:szCs w:val="24"/>
      <w:lang w:eastAsia="zh-CN"/>
    </w:rPr>
  </w:style>
  <w:style w:type="paragraph" w:customStyle="1" w:styleId="64">
    <w:name w:val="bullet2"/>
    <w:basedOn w:val="1"/>
    <w:qFormat/>
    <w:uiPriority w:val="0"/>
    <w:pPr>
      <w:numPr>
        <w:ilvl w:val="1"/>
        <w:numId w:val="11"/>
      </w:numPr>
      <w:spacing w:after="0"/>
      <w:jc w:val="left"/>
    </w:pPr>
    <w:rPr>
      <w:rFonts w:ascii="Times" w:hAnsi="Times"/>
      <w:kern w:val="2"/>
      <w:sz w:val="24"/>
      <w:szCs w:val="24"/>
      <w:lang w:eastAsia="zh-CN"/>
    </w:rPr>
  </w:style>
  <w:style w:type="paragraph" w:customStyle="1" w:styleId="65">
    <w:name w:val="bullet3"/>
    <w:basedOn w:val="1"/>
    <w:qFormat/>
    <w:uiPriority w:val="0"/>
    <w:pPr>
      <w:numPr>
        <w:ilvl w:val="2"/>
        <w:numId w:val="11"/>
      </w:numPr>
      <w:spacing w:after="0"/>
      <w:jc w:val="left"/>
    </w:pPr>
    <w:rPr>
      <w:rFonts w:ascii="Times" w:hAnsi="Times" w:eastAsia="Batang"/>
      <w:szCs w:val="24"/>
    </w:rPr>
  </w:style>
  <w:style w:type="paragraph" w:customStyle="1" w:styleId="66">
    <w:name w:val="bullet4"/>
    <w:basedOn w:val="1"/>
    <w:qFormat/>
    <w:uiPriority w:val="0"/>
    <w:pPr>
      <w:numPr>
        <w:ilvl w:val="3"/>
        <w:numId w:val="11"/>
      </w:numPr>
      <w:spacing w:after="0"/>
      <w:jc w:val="left"/>
    </w:pPr>
    <w:rPr>
      <w:rFonts w:ascii="Times" w:hAnsi="Times" w:eastAsia="Batang"/>
      <w:szCs w:val="24"/>
    </w:rPr>
  </w:style>
  <w:style w:type="paragraph" w:customStyle="1" w:styleId="67">
    <w:name w:val="Spec Text Num"/>
    <w:basedOn w:val="1"/>
    <w:qFormat/>
    <w:uiPriority w:val="0"/>
    <w:pPr>
      <w:numPr>
        <w:ilvl w:val="0"/>
        <w:numId w:val="12"/>
      </w:numPr>
      <w:tabs>
        <w:tab w:val="left" w:pos="851"/>
        <w:tab w:val="clear" w:pos="1134"/>
      </w:tabs>
      <w:spacing w:after="0"/>
      <w:ind w:left="851" w:hanging="851"/>
      <w:jc w:val="left"/>
    </w:pPr>
    <w:rPr>
      <w:rFonts w:eastAsia="MS Mincho"/>
      <w:sz w:val="24"/>
      <w:szCs w:val="24"/>
      <w:lang w:val="en-US" w:eastAsia="ja-JP"/>
    </w:rPr>
  </w:style>
  <w:style w:type="character" w:customStyle="1" w:styleId="68">
    <w:name w:val="B4 Char"/>
    <w:link w:val="61"/>
    <w:qFormat/>
    <w:uiPriority w:val="0"/>
    <w:rPr>
      <w:rFonts w:eastAsia="宋体"/>
      <w:lang w:val="en-GB" w:eastAsia="en-US"/>
    </w:rPr>
  </w:style>
  <w:style w:type="character" w:customStyle="1" w:styleId="69">
    <w:name w:val="B5 Char"/>
    <w:link w:val="62"/>
    <w:qFormat/>
    <w:uiPriority w:val="0"/>
    <w:rPr>
      <w:rFonts w:eastAsia="宋体"/>
      <w:lang w:val="en-GB" w:eastAsia="en-US"/>
    </w:rPr>
  </w:style>
  <w:style w:type="paragraph" w:customStyle="1" w:styleId="7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71">
    <w:name w:val="TAH"/>
    <w:basedOn w:val="72"/>
    <w:link w:val="76"/>
    <w:qFormat/>
    <w:uiPriority w:val="0"/>
    <w:rPr>
      <w:b/>
    </w:rPr>
  </w:style>
  <w:style w:type="paragraph" w:customStyle="1" w:styleId="72">
    <w:name w:val="TAC"/>
    <w:basedOn w:val="1"/>
    <w:link w:val="7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Theme="minorEastAsia"/>
      <w:sz w:val="18"/>
    </w:rPr>
  </w:style>
  <w:style w:type="paragraph" w:customStyle="1" w:styleId="73">
    <w:name w:val="TH"/>
    <w:basedOn w:val="1"/>
    <w:link w:val="7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Theme="minorEastAsia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75">
    <w:name w:val="TAC Char"/>
    <w:link w:val="72"/>
    <w:qFormat/>
    <w:uiPriority w:val="0"/>
    <w:rPr>
      <w:rFonts w:ascii="Arial" w:hAnsi="Arial"/>
      <w:sz w:val="18"/>
      <w:lang w:val="en-GB" w:eastAsia="en-US"/>
    </w:rPr>
  </w:style>
  <w:style w:type="character" w:customStyle="1" w:styleId="76">
    <w:name w:val="TAH Car"/>
    <w:link w:val="7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修订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78">
    <w:name w:val="修订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9">
    <w:name w:val="apple-converted-space"/>
    <w:basedOn w:val="25"/>
    <w:qFormat/>
    <w:uiPriority w:val="0"/>
  </w:style>
  <w:style w:type="paragraph" w:customStyle="1" w:styleId="80">
    <w:name w:val="0 Main text"/>
    <w:basedOn w:val="1"/>
    <w:qFormat/>
    <w:uiPriority w:val="0"/>
    <w:pPr>
      <w:spacing w:after="120" w:line="276" w:lineRule="auto"/>
      <w:jc w:val="both"/>
    </w:pPr>
    <w:rPr>
      <w:rFonts w:cs="Batang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8EF96-059D-4917-9741-076D8BFDA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14</Pages>
  <Words>7366</Words>
  <Characters>41990</Characters>
  <Lines>349</Lines>
  <Paragraphs>98</Paragraphs>
  <TotalTime>5</TotalTime>
  <ScaleCrop>false</ScaleCrop>
  <LinksUpToDate>false</LinksUpToDate>
  <CharactersWithSpaces>49258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2022-10-06T13:14:00Z</dcterms:created>
  <dc:creator>ZTE Corporation</dc:creator>
  <cp:lastModifiedBy>ZTE - Jing Shi</cp:lastModifiedBy>
  <cp:lastPrinted>2002-04-23T01:10:00Z</cp:lastPrinted>
  <dcterms:modified xsi:type="dcterms:W3CDTF">2025-11-07T13:22:28Z</dcterms:modified>
  <cp:revision>345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